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568A7C02" w:rsidR="00BE3847" w:rsidRPr="00D41DCC" w:rsidRDefault="00C675B3" w:rsidP="00C46078">
            <w:pPr>
              <w:keepNext/>
              <w:keepLines/>
              <w:widowControl w:val="0"/>
              <w:suppressLineNumbers/>
              <w:suppressAutoHyphens/>
              <w:contextualSpacing/>
              <w:rPr>
                <w:b/>
                <w:bCs/>
                <w:sz w:val="24"/>
                <w:szCs w:val="24"/>
              </w:rPr>
            </w:pPr>
            <w:r>
              <w:rPr>
                <w:sz w:val="24"/>
                <w:szCs w:val="24"/>
              </w:rPr>
              <w:t>«</w:t>
            </w:r>
            <w:r w:rsidR="00F544FE">
              <w:rPr>
                <w:sz w:val="24"/>
                <w:szCs w:val="24"/>
              </w:rPr>
              <w:t>__</w:t>
            </w:r>
            <w:r w:rsidR="00BE3847">
              <w:rPr>
                <w:sz w:val="24"/>
                <w:szCs w:val="24"/>
              </w:rPr>
              <w:t xml:space="preserve">» </w:t>
            </w:r>
            <w:r>
              <w:rPr>
                <w:sz w:val="24"/>
                <w:szCs w:val="24"/>
              </w:rPr>
              <w:t xml:space="preserve"> </w:t>
            </w:r>
            <w:r w:rsidR="00F544FE">
              <w:rPr>
                <w:sz w:val="24"/>
                <w:szCs w:val="24"/>
              </w:rPr>
              <w:t>____________</w:t>
            </w:r>
            <w:r>
              <w:rPr>
                <w:sz w:val="24"/>
                <w:szCs w:val="24"/>
              </w:rPr>
              <w:t xml:space="preserve"> </w:t>
            </w:r>
            <w:r w:rsidR="00BE3847">
              <w:rPr>
                <w:sz w:val="24"/>
                <w:szCs w:val="24"/>
              </w:rPr>
              <w:t>202</w:t>
            </w:r>
            <w:r w:rsidR="00C46078">
              <w:rPr>
                <w:sz w:val="24"/>
                <w:szCs w:val="24"/>
              </w:rPr>
              <w:t>5</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08156B5B" w14:textId="4A597572" w:rsidR="00A5524F"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r w:rsidRPr="00F43FB5">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w:t>
      </w:r>
      <w:r w:rsidR="00B331B7">
        <w:rPr>
          <w:rFonts w:ascii="Times New Roman" w:eastAsia="Times New Roman" w:hAnsi="Times New Roman" w:cs="Times New Roman"/>
          <w:b/>
          <w:bCs/>
          <w:color w:val="FF0000"/>
          <w:sz w:val="28"/>
          <w:szCs w:val="28"/>
          <w:lang w:eastAsia="ru-RU"/>
        </w:rPr>
        <w:t xml:space="preserve"> </w:t>
      </w:r>
      <w:r w:rsidR="00BE3B3B">
        <w:rPr>
          <w:rFonts w:ascii="Times New Roman" w:eastAsia="Times New Roman" w:hAnsi="Times New Roman" w:cs="Times New Roman"/>
          <w:b/>
          <w:bCs/>
          <w:color w:val="FF0000"/>
          <w:sz w:val="28"/>
          <w:szCs w:val="28"/>
          <w:lang w:eastAsia="ru-RU"/>
        </w:rPr>
        <w:t>и самозанятые</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0061E5">
        <w:rPr>
          <w:rFonts w:ascii="Times New Roman" w:eastAsia="Times New Roman" w:hAnsi="Times New Roman" w:cs="Times New Roman"/>
          <w:b/>
          <w:bCs/>
          <w:sz w:val="28"/>
          <w:szCs w:val="28"/>
          <w:lang w:eastAsia="ru-RU"/>
        </w:rPr>
        <w:t xml:space="preserve">выполнение работ по организации </w:t>
      </w:r>
      <w:r w:rsidR="000061E5" w:rsidRPr="000061E5">
        <w:rPr>
          <w:rFonts w:ascii="Times New Roman" w:eastAsia="Times New Roman" w:hAnsi="Times New Roman" w:cs="Times New Roman"/>
          <w:b/>
          <w:bCs/>
          <w:sz w:val="28"/>
          <w:szCs w:val="28"/>
          <w:lang w:eastAsia="ru-RU"/>
        </w:rPr>
        <w:t xml:space="preserve">  строительства, в том числе по выполнению строительно-монтажных работ с приобретением и ПНР монтируемого оборудования «Многоквартирный жилой дом по ул.</w:t>
      </w:r>
      <w:r w:rsidR="001502CC">
        <w:rPr>
          <w:rFonts w:ascii="Times New Roman" w:eastAsia="Times New Roman" w:hAnsi="Times New Roman" w:cs="Times New Roman"/>
          <w:b/>
          <w:bCs/>
          <w:sz w:val="28"/>
          <w:szCs w:val="28"/>
          <w:lang w:eastAsia="ru-RU"/>
        </w:rPr>
        <w:t xml:space="preserve"> </w:t>
      </w:r>
      <w:r w:rsidR="000061E5" w:rsidRPr="000061E5">
        <w:rPr>
          <w:rFonts w:ascii="Times New Roman" w:eastAsia="Times New Roman" w:hAnsi="Times New Roman" w:cs="Times New Roman"/>
          <w:b/>
          <w:bCs/>
          <w:sz w:val="28"/>
          <w:szCs w:val="28"/>
          <w:lang w:eastAsia="ru-RU"/>
        </w:rPr>
        <w:t>Светлая, 3/1 в с.</w:t>
      </w:r>
      <w:r w:rsidR="001502CC">
        <w:rPr>
          <w:rFonts w:ascii="Times New Roman" w:eastAsia="Times New Roman" w:hAnsi="Times New Roman" w:cs="Times New Roman"/>
          <w:b/>
          <w:bCs/>
          <w:sz w:val="28"/>
          <w:szCs w:val="28"/>
          <w:lang w:eastAsia="ru-RU"/>
        </w:rPr>
        <w:t xml:space="preserve"> </w:t>
      </w:r>
      <w:r w:rsidR="000061E5" w:rsidRPr="000061E5">
        <w:rPr>
          <w:rFonts w:ascii="Times New Roman" w:eastAsia="Times New Roman" w:hAnsi="Times New Roman" w:cs="Times New Roman"/>
          <w:b/>
          <w:bCs/>
          <w:sz w:val="28"/>
          <w:szCs w:val="28"/>
          <w:lang w:eastAsia="ru-RU"/>
        </w:rPr>
        <w:t>Месягутово Дуванского района Республики Башкортостан».</w:t>
      </w:r>
    </w:p>
    <w:p w14:paraId="38C42C05"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6DE34AAE"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Pr="007823D2"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72B6A630" w14:textId="5188A481"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огласовал: начальник сметно-договорного отдела</w:t>
      </w:r>
    </w:p>
    <w:p w14:paraId="64127872" w14:textId="47D421B0"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Е.В.</w:t>
      </w:r>
      <w:r w:rsidR="004309B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Беллендир______________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8B9A4F4"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C46078">
        <w:rPr>
          <w:rFonts w:ascii="Times New Roman" w:eastAsia="Times New Roman" w:hAnsi="Times New Roman" w:cs="Times New Roman"/>
          <w:b/>
          <w:bCs/>
          <w:sz w:val="24"/>
          <w:szCs w:val="24"/>
          <w:lang w:eastAsia="ru-RU"/>
        </w:rPr>
        <w:t>5</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0763DEC4"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C46078">
        <w:rPr>
          <w:rFonts w:ascii="Times New Roman" w:eastAsia="Times New Roman" w:hAnsi="Times New Roman" w:cs="Times New Roman"/>
          <w:sz w:val="24"/>
          <w:szCs w:val="24"/>
          <w:lang w:val="x-none" w:eastAsia="x-none"/>
        </w:rPr>
        <w:t>–</w:t>
      </w:r>
      <w:r w:rsidRPr="00EE37DC">
        <w:rPr>
          <w:rFonts w:ascii="Times New Roman" w:eastAsia="Times New Roman" w:hAnsi="Times New Roman" w:cs="Times New Roman"/>
          <w:sz w:val="24"/>
          <w:szCs w:val="24"/>
          <w:lang w:val="x-none" w:eastAsia="x-none"/>
        </w:rPr>
        <w:t xml:space="preserve"> Предприятие</w:t>
      </w:r>
      <w:r w:rsidR="00C46078">
        <w:rPr>
          <w:rFonts w:ascii="Times New Roman" w:eastAsia="Times New Roman" w:hAnsi="Times New Roman" w:cs="Times New Roman"/>
          <w:sz w:val="24"/>
          <w:szCs w:val="24"/>
          <w:lang w:eastAsia="x-none"/>
        </w:rPr>
        <w:t xml:space="preserve"> или Заказчик</w:t>
      </w:r>
      <w:r w:rsidRPr="00EE37DC">
        <w:rPr>
          <w:rFonts w:ascii="Times New Roman" w:eastAsia="Times New Roman" w:hAnsi="Times New Roman" w:cs="Times New Roman"/>
          <w:sz w:val="24"/>
          <w:szCs w:val="24"/>
          <w:lang w:val="x-none" w:eastAsia="x-none"/>
        </w:rPr>
        <w:t xml:space="preserve">)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D641C8">
          <w:rPr>
            <w:rFonts w:ascii="Times New Roman" w:eastAsia="Times New Roman" w:hAnsi="Times New Roman" w:cs="Times New Roman"/>
            <w:bCs/>
            <w:color w:val="0000FF"/>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1"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1"/>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29CAC13D"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2"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bookmarkEnd w:id="2"/>
      <w:r w:rsidR="00096C25" w:rsidRPr="005772DE">
        <w:rPr>
          <w:rFonts w:ascii="Times New Roman" w:eastAsia="Times New Roman" w:hAnsi="Times New Roman" w:cs="Times New Roman"/>
          <w:bCs/>
          <w:sz w:val="24"/>
          <w:szCs w:val="24"/>
          <w:lang w:eastAsia="ru-RU"/>
        </w:rPr>
        <w:t>, а именно:</w:t>
      </w:r>
    </w:p>
    <w:p w14:paraId="06283507" w14:textId="67E84D18" w:rsidR="00096C25" w:rsidRPr="00C46078" w:rsidRDefault="00096C25" w:rsidP="00EF54A3">
      <w:pPr>
        <w:autoSpaceDE w:val="0"/>
        <w:autoSpaceDN w:val="0"/>
        <w:adjustRightInd w:val="0"/>
        <w:spacing w:after="0" w:line="240" w:lineRule="auto"/>
        <w:ind w:firstLine="540"/>
        <w:jc w:val="both"/>
        <w:rPr>
          <w:rFonts w:ascii="Times New Roman" w:eastAsia="Times New Roman" w:hAnsi="Times New Roman" w:cs="Times New Roman"/>
          <w:bCs/>
          <w:color w:val="FF0000"/>
          <w:sz w:val="24"/>
          <w:szCs w:val="24"/>
          <w:lang w:eastAsia="ru-RU"/>
        </w:rPr>
      </w:pPr>
      <w:r w:rsidRPr="00C46078">
        <w:rPr>
          <w:rFonts w:ascii="Times New Roman" w:eastAsia="Times New Roman" w:hAnsi="Times New Roman" w:cs="Times New Roman"/>
          <w:bCs/>
          <w:color w:val="FF0000"/>
          <w:sz w:val="24"/>
          <w:szCs w:val="24"/>
          <w:lang w:eastAsia="ru-RU"/>
        </w:rPr>
        <w:t>Наличие выписки (копии выписки) из реестра членов СРО в области строительства, реконструкции, капитального ремонта объектов капитального строительства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w:t>
      </w:r>
      <w:r w:rsidRPr="005E687F">
        <w:rPr>
          <w:rFonts w:ascii="Times New Roman" w:eastAsia="Times New Roman" w:hAnsi="Times New Roman" w:cs="Times New Roman"/>
          <w:bCs/>
          <w:sz w:val="24"/>
          <w:szCs w:val="24"/>
          <w:lang w:eastAsia="ru-RU"/>
        </w:rPr>
        <w:lastRenderedPageBreak/>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3" w:name="Par27"/>
      <w:bookmarkEnd w:id="3"/>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lastRenderedPageBreak/>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4" w:name="Par553"/>
      <w:bookmarkEnd w:id="4"/>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w:t>
      </w:r>
      <w:r w:rsidRPr="00DC0C5E">
        <w:rPr>
          <w:rFonts w:ascii="Times New Roman" w:eastAsia="Times New Roman" w:hAnsi="Times New Roman" w:cs="Times New Roman"/>
          <w:sz w:val="24"/>
          <w:szCs w:val="24"/>
          <w:lang w:eastAsia="ru-RU"/>
        </w:rPr>
        <w:lastRenderedPageBreak/>
        <w:t>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715B395B"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выявлено несоответствие участника хотя бы одному из требований, перечисленных</w:t>
      </w:r>
      <w:r w:rsidRPr="005772DE">
        <w:rPr>
          <w:rFonts w:ascii="Times New Roman" w:eastAsia="Times New Roman" w:hAnsi="Times New Roman" w:cs="Times New Roman"/>
          <w:sz w:val="24"/>
          <w:szCs w:val="24"/>
          <w:lang w:eastAsia="ru-RU"/>
        </w:rPr>
        <w:t xml:space="preserve"> в 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0B2762DC" w14:textId="2078CABD" w:rsidR="008C69C2"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r w:rsidR="008C69C2">
        <w:rPr>
          <w:rFonts w:ascii="Times New Roman" w:eastAsia="Times New Roman" w:hAnsi="Times New Roman" w:cs="Times New Roman"/>
          <w:sz w:val="24"/>
          <w:szCs w:val="24"/>
          <w:lang w:eastAsia="ru-RU"/>
        </w:rPr>
        <w:t>;</w:t>
      </w:r>
    </w:p>
    <w:p w14:paraId="32821793" w14:textId="14139D37" w:rsidR="008C69C2" w:rsidRPr="00062FD5" w:rsidRDefault="008C69C2" w:rsidP="008C69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F4151">
        <w:rPr>
          <w:rFonts w:ascii="Times New Roman" w:eastAsia="Times New Roman" w:hAnsi="Times New Roman" w:cs="Times New Roman"/>
          <w:sz w:val="24"/>
          <w:szCs w:val="24"/>
          <w:lang w:eastAsia="ru-RU"/>
        </w:rPr>
        <w:t xml:space="preserve">е) </w:t>
      </w:r>
      <w:r w:rsidR="00E17D04" w:rsidRPr="00DF4151">
        <w:rPr>
          <w:rFonts w:ascii="Times New Roman" w:eastAsia="Times New Roman" w:hAnsi="Times New Roman" w:cs="Times New Roman"/>
          <w:sz w:val="24"/>
          <w:szCs w:val="24"/>
          <w:lang w:eastAsia="ru-RU"/>
        </w:rPr>
        <w:t>в случаях, установленных ст. 3.1-4 Закона № 223-ФЗ (если применимо).</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DF4151">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689E943" w14:textId="77777777" w:rsidR="00191710" w:rsidRPr="00F05499" w:rsidRDefault="00191710" w:rsidP="00191710">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03C68716" w14:textId="77777777" w:rsidR="00191710" w:rsidRPr="00F05499" w:rsidRDefault="00191710" w:rsidP="00191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38FF0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w:t>
      </w:r>
      <w:r w:rsidRPr="00F05499">
        <w:rPr>
          <w:rFonts w:ascii="Times New Roman" w:eastAsia="Times New Roman" w:hAnsi="Times New Roman" w:cs="Times New Roman"/>
          <w:sz w:val="24"/>
          <w:szCs w:val="24"/>
          <w:lang w:eastAsia="ru-RU"/>
        </w:rPr>
        <w:lastRenderedPageBreak/>
        <w:t>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9BA30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60CB13E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69C720C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5" w:name="Par3"/>
      <w:bookmarkEnd w:id="5"/>
      <w:r w:rsidRPr="00F05499">
        <w:rPr>
          <w:rFonts w:ascii="Times New Roman" w:eastAsia="Times New Roman" w:hAnsi="Times New Roman" w:cs="Times New Roman"/>
          <w:sz w:val="24"/>
          <w:szCs w:val="24"/>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41D51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4"/>
      <w:bookmarkEnd w:id="6"/>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99199D"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5"/>
      <w:bookmarkEnd w:id="7"/>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3788DB4"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32E0FAE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7"/>
      <w:bookmarkEnd w:id="8"/>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C0702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340A297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04E5321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67BE715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101006"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534366B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BC908B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61680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15E153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16"/>
      <w:bookmarkEnd w:id="9"/>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5F5978"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lastRenderedPageBreak/>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64F7F42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5F93A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8AF669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0BFEDC23"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4B4FF02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4BDB06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C26741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10B39"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C58544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13A55DE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A10B04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D4663B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6C1C8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30"/>
      <w:bookmarkEnd w:id="10"/>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w:t>
      </w:r>
      <w:r w:rsidRPr="00F05499">
        <w:rPr>
          <w:rFonts w:ascii="Times New Roman" w:eastAsia="Times New Roman" w:hAnsi="Times New Roman" w:cs="Times New Roman"/>
          <w:sz w:val="24"/>
          <w:szCs w:val="24"/>
          <w:lang w:eastAsia="ru-RU"/>
        </w:rPr>
        <w:lastRenderedPageBreak/>
        <w:t xml:space="preserve">удовлетворяющего </w:t>
      </w:r>
      <w:hyperlink r:id="rId31"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E8E3D2F" w14:textId="77777777" w:rsidR="00191710" w:rsidRPr="00CB1984" w:rsidRDefault="00191710" w:rsidP="0019171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407490A" w14:textId="77777777" w:rsidR="00191710" w:rsidRPr="00191710" w:rsidRDefault="00191710"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 xml:space="preserve">.1.Договор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Pr>
          <w:rFonts w:ascii="Times New Roman" w:hAnsi="Times New Roman" w:cs="Times New Roman"/>
          <w:sz w:val="24"/>
          <w:szCs w:val="24"/>
        </w:rPr>
        <w:lastRenderedPageBreak/>
        <w:t>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402E334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w:t>
      </w:r>
      <w:r w:rsidR="007C6CC4">
        <w:rPr>
          <w:rFonts w:ascii="Times New Roman" w:eastAsia="Times New Roman" w:hAnsi="Times New Roman" w:cs="Times New Roman"/>
          <w:sz w:val="24"/>
          <w:szCs w:val="24"/>
          <w:lang w:eastAsia="ru-RU"/>
        </w:rPr>
        <w:t>31</w:t>
      </w:r>
      <w:r w:rsidR="00EB194D" w:rsidRPr="00EB194D">
        <w:rPr>
          <w:rFonts w:ascii="Times New Roman" w:eastAsia="Times New Roman" w:hAnsi="Times New Roman" w:cs="Times New Roman"/>
          <w:sz w:val="24"/>
          <w:szCs w:val="24"/>
          <w:lang w:eastAsia="ru-RU"/>
        </w:rPr>
        <w:t>.</w:t>
      </w:r>
      <w:r w:rsidR="007C6CC4">
        <w:rPr>
          <w:rFonts w:ascii="Times New Roman" w:eastAsia="Times New Roman" w:hAnsi="Times New Roman" w:cs="Times New Roman"/>
          <w:sz w:val="24"/>
          <w:szCs w:val="24"/>
          <w:lang w:eastAsia="ru-RU"/>
        </w:rPr>
        <w:t>01</w:t>
      </w:r>
      <w:r w:rsidR="00EB194D" w:rsidRPr="00EB194D">
        <w:rPr>
          <w:rFonts w:ascii="Times New Roman" w:eastAsia="Times New Roman" w:hAnsi="Times New Roman" w:cs="Times New Roman"/>
          <w:sz w:val="24"/>
          <w:szCs w:val="24"/>
          <w:lang w:eastAsia="ru-RU"/>
        </w:rPr>
        <w:t>.202</w:t>
      </w:r>
      <w:r w:rsidR="007C6CC4">
        <w:rPr>
          <w:rFonts w:ascii="Times New Roman" w:eastAsia="Times New Roman" w:hAnsi="Times New Roman" w:cs="Times New Roman"/>
          <w:sz w:val="24"/>
          <w:szCs w:val="24"/>
          <w:lang w:eastAsia="ru-RU"/>
        </w:rPr>
        <w:t>4</w:t>
      </w:r>
      <w:r w:rsidR="00EB194D" w:rsidRPr="00EB194D">
        <w:rPr>
          <w:rFonts w:ascii="Times New Roman" w:eastAsia="Times New Roman" w:hAnsi="Times New Roman" w:cs="Times New Roman"/>
          <w:sz w:val="24"/>
          <w:szCs w:val="24"/>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Pr="007C6CC4"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1CDF00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47DAF4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BA313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5FF5045"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B7248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30066F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7B067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4037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F48B12"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38811E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236ECE"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85ED5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92851E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B717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9D054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5E031DD"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4E5A03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F0E0F"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0B06E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014A1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7B5CE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A81AC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173C3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6E35F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18333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171CF1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21DCC1"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sidRPr="00C44FDC">
              <w:rPr>
                <w:rFonts w:ascii="Times New Roman" w:eastAsia="Times New Roman" w:hAnsi="Times New Roman" w:cs="Times New Roman"/>
                <w:sz w:val="24"/>
                <w:szCs w:val="24"/>
                <w:lang w:eastAsia="ru-RU"/>
              </w:rPr>
              <w:t>Айгуль</w:t>
            </w:r>
            <w:proofErr w:type="spellEnd"/>
            <w:r w:rsidRPr="00C44FDC">
              <w:rPr>
                <w:rFonts w:ascii="Times New Roman" w:eastAsia="Times New Roman" w:hAnsi="Times New Roman" w:cs="Times New Roman"/>
                <w:sz w:val="24"/>
                <w:szCs w:val="24"/>
                <w:lang w:eastAsia="ru-RU"/>
              </w:rPr>
              <w:t xml:space="preserve">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65E161C7" w:rsidR="00C44FDC" w:rsidRPr="00C44FDC" w:rsidRDefault="00AD0436"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32" w:history="1">
              <w:r w:rsidR="009D1061" w:rsidRPr="00E31E92">
                <w:rPr>
                  <w:rStyle w:val="a4"/>
                  <w:rFonts w:ascii="Times New Roman" w:eastAsia="Times New Roman" w:hAnsi="Times New Roman" w:cs="Times New Roman"/>
                  <w:sz w:val="24"/>
                  <w:szCs w:val="24"/>
                  <w:lang w:eastAsia="ru-RU"/>
                </w:rPr>
                <w:t>http://gsfrb.ru</w:t>
              </w:r>
            </w:hyperlink>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22825D18"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6C4378" w:rsidRPr="006C4378">
              <w:rPr>
                <w:rFonts w:ascii="Times New Roman" w:eastAsia="Times New Roman" w:hAnsi="Times New Roman" w:cs="Times New Roman"/>
                <w:sz w:val="24"/>
                <w:szCs w:val="24"/>
                <w:lang w:eastAsia="ru-RU"/>
              </w:rPr>
              <w:t>www.zakupki.gov.ru  и  ЭТП АО «Агентство по государственному заказу  Республики Татарстан» http://etp.zakazrf.ru</w:t>
            </w:r>
            <w:bookmarkStart w:id="11" w:name="_GoBack"/>
            <w:bookmarkEnd w:id="11"/>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3C6E759A" w:rsidR="00C44FDC" w:rsidRPr="00C44FDC" w:rsidRDefault="00803BF9" w:rsidP="00B331B7">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и самозанятые.</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13C923E8" w:rsidR="00795F06" w:rsidRPr="00A5524F" w:rsidRDefault="00590964"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590964">
              <w:rPr>
                <w:rFonts w:ascii="Times New Roman" w:eastAsia="Times New Roman" w:hAnsi="Times New Roman" w:cs="Times New Roman"/>
                <w:b/>
                <w:sz w:val="24"/>
                <w:szCs w:val="24"/>
                <w:lang w:eastAsia="ru-RU"/>
              </w:rPr>
              <w:t>Организация строительства, в том числе выполнение строительно-монтажных работ с приобретением и ПНР монтируемого оборудования на объекте «Многоквартирный жилой дом по ул. Светлая,3/1 в с. Месягутово Дуванского района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44EC6164" w:rsidR="00C44FDC" w:rsidRPr="000A65DA" w:rsidRDefault="00C42293"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C42293">
              <w:rPr>
                <w:rFonts w:ascii="Times New Roman" w:eastAsia="Times New Roman" w:hAnsi="Times New Roman" w:cs="Times New Roman"/>
                <w:b/>
                <w:sz w:val="24"/>
                <w:szCs w:val="24"/>
                <w:lang w:eastAsia="ru-RU"/>
              </w:rPr>
              <w:t>55 549 478 ,00</w:t>
            </w:r>
            <w:r>
              <w:rPr>
                <w:rFonts w:ascii="Times New Roman" w:eastAsia="Times New Roman" w:hAnsi="Times New Roman" w:cs="Times New Roman"/>
                <w:sz w:val="24"/>
                <w:szCs w:val="24"/>
                <w:lang w:eastAsia="ru-RU"/>
              </w:rPr>
              <w:t xml:space="preserve"> </w:t>
            </w:r>
            <w:r w:rsidR="00166E07" w:rsidRPr="000A65DA">
              <w:rPr>
                <w:rFonts w:ascii="Times New Roman" w:eastAsia="Times New Roman" w:hAnsi="Times New Roman" w:cs="Times New Roman"/>
                <w:sz w:val="24"/>
                <w:szCs w:val="24"/>
                <w:lang w:eastAsia="ru-RU"/>
              </w:rPr>
              <w:t xml:space="preserve">рублей с </w:t>
            </w:r>
            <w:r w:rsidR="00732EEE" w:rsidRPr="000A65DA">
              <w:rPr>
                <w:rFonts w:ascii="Times New Roman" w:eastAsia="Times New Roman" w:hAnsi="Times New Roman" w:cs="Times New Roman"/>
                <w:sz w:val="24"/>
                <w:szCs w:val="24"/>
                <w:lang w:eastAsia="ru-RU"/>
              </w:rPr>
              <w:t xml:space="preserve">учетом </w:t>
            </w:r>
            <w:r w:rsidR="00166E07" w:rsidRPr="000A65DA">
              <w:rPr>
                <w:rFonts w:ascii="Times New Roman" w:eastAsia="Times New Roman" w:hAnsi="Times New Roman" w:cs="Times New Roman"/>
                <w:sz w:val="24"/>
                <w:szCs w:val="24"/>
                <w:lang w:eastAsia="ru-RU"/>
              </w:rPr>
              <w:t>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679B9E8A" w:rsidR="00C44FDC" w:rsidRPr="005772DE" w:rsidRDefault="0076288E" w:rsidP="00AB0B5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434C39" w:rsidRPr="005772DE">
              <w:rPr>
                <w:rFonts w:ascii="Times New Roman" w:eastAsia="Times New Roman" w:hAnsi="Times New Roman" w:cs="Times New Roman"/>
                <w:sz w:val="24"/>
                <w:szCs w:val="24"/>
                <w:lang w:eastAsia="x-none"/>
              </w:rPr>
              <w:t>договор</w:t>
            </w:r>
            <w:proofErr w:type="gramStart"/>
            <w:r w:rsidR="00434C39" w:rsidRPr="005772DE">
              <w:rPr>
                <w:rFonts w:ascii="Times New Roman" w:eastAsia="Times New Roman" w:hAnsi="Times New Roman" w:cs="Times New Roman"/>
                <w:sz w:val="24"/>
                <w:szCs w:val="24"/>
                <w:lang w:eastAsia="x-none"/>
              </w:rPr>
              <w:t>а-</w:t>
            </w:r>
            <w:proofErr w:type="gramEnd"/>
            <w:r w:rsidR="00434C39" w:rsidRPr="005772DE">
              <w:rPr>
                <w:rFonts w:ascii="Times New Roman" w:eastAsia="Times New Roman" w:hAnsi="Times New Roman" w:cs="Times New Roman"/>
                <w:sz w:val="24"/>
                <w:szCs w:val="24"/>
                <w:lang w:eastAsia="x-none"/>
              </w:rPr>
              <w:t xml:space="preserve"> </w:t>
            </w:r>
            <w:r w:rsidR="00AB0B5D" w:rsidRPr="00AB0B5D">
              <w:rPr>
                <w:rFonts w:ascii="Times New Roman" w:eastAsia="Times New Roman" w:hAnsi="Times New Roman" w:cs="Times New Roman"/>
                <w:i/>
                <w:sz w:val="24"/>
                <w:szCs w:val="24"/>
                <w:lang w:eastAsia="x-none"/>
              </w:rPr>
              <w:t>метод сопоставимых рыночных цен (анализ рынка).</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5215F8DD" w14:textId="32D73E2E" w:rsidR="00C44FDC" w:rsidRPr="00F937C1" w:rsidRDefault="00C44FDC" w:rsidP="00DA0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A5524F">
              <w:rPr>
                <w:rFonts w:ascii="Times New Roman" w:eastAsia="Times New Roman" w:hAnsi="Times New Roman" w:cs="Times New Roman"/>
                <w:sz w:val="24"/>
                <w:szCs w:val="24"/>
                <w:lang w:eastAsia="x-none"/>
              </w:rPr>
              <w:t>, инвестиционные средства</w:t>
            </w:r>
            <w:r w:rsidR="00F937C1">
              <w:rPr>
                <w:rFonts w:ascii="Times New Roman" w:eastAsia="Times New Roman" w:hAnsi="Times New Roman" w:cs="Times New Roman"/>
                <w:sz w:val="24"/>
                <w:szCs w:val="24"/>
                <w:lang w:eastAsia="x-none"/>
              </w:rPr>
              <w:t xml:space="preserve"> </w:t>
            </w: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Валюта, используемая </w:t>
            </w:r>
            <w:r w:rsidR="0038796D">
              <w:rPr>
                <w:rFonts w:ascii="Times New Roman" w:eastAsia="Times New Roman" w:hAnsi="Times New Roman" w:cs="Times New Roman"/>
                <w:i/>
                <w:lang w:val="x-none" w:eastAsia="x-none"/>
              </w:rPr>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29B2EE46" w14:textId="442B6A92" w:rsidR="00BF2937" w:rsidRPr="00BF2937" w:rsidRDefault="00BF2937" w:rsidP="00BF2937">
            <w:pPr>
              <w:spacing w:after="0" w:line="240" w:lineRule="auto"/>
              <w:jc w:val="both"/>
              <w:rPr>
                <w:rFonts w:ascii="Times New Roman" w:eastAsia="Calibri" w:hAnsi="Times New Roman" w:cs="Times New Roman"/>
                <w:sz w:val="24"/>
                <w:szCs w:val="24"/>
              </w:rPr>
            </w:pPr>
            <w:r w:rsidRPr="00BF2937">
              <w:rPr>
                <w:rFonts w:ascii="Times New Roman" w:eastAsia="Calibri" w:hAnsi="Times New Roman" w:cs="Times New Roman"/>
                <w:sz w:val="24"/>
                <w:szCs w:val="24"/>
              </w:rPr>
              <w:t>Оплата принятых Заказчиком Работ, предусмотренных Договором, производится после представления  Генеральным подрядчиком документов, указанных в п.10.2. Договора и исполнительной документации.</w:t>
            </w:r>
          </w:p>
          <w:p w14:paraId="562614A2" w14:textId="0DF276AD" w:rsidR="00BF2937" w:rsidRPr="00BF2937" w:rsidRDefault="00BF2937" w:rsidP="00BF2937">
            <w:pPr>
              <w:rPr>
                <w:rFonts w:ascii="Times New Roman" w:eastAsia="Calibri" w:hAnsi="Times New Roman" w:cs="Times New Roman"/>
                <w:sz w:val="24"/>
                <w:szCs w:val="24"/>
              </w:rPr>
            </w:pPr>
            <w:r w:rsidRPr="00BF2937">
              <w:rPr>
                <w:rFonts w:ascii="Times New Roman" w:eastAsia="Calibri" w:hAnsi="Times New Roman" w:cs="Times New Roman"/>
                <w:sz w:val="24"/>
                <w:szCs w:val="24"/>
              </w:rPr>
              <w:t>Заказчик, в срок не ранее 7 (семи) рабочих дней с даты подписания Заказчиком документов, предусмотренных п.3.1. Договора, производит оплату за выполненные Работы</w:t>
            </w:r>
            <w:r>
              <w:rPr>
                <w:rFonts w:ascii="Times New Roman" w:eastAsia="Calibri" w:hAnsi="Times New Roman" w:cs="Times New Roman"/>
                <w:sz w:val="24"/>
                <w:szCs w:val="24"/>
              </w:rPr>
              <w:t>.</w:t>
            </w:r>
            <w:r>
              <w:t xml:space="preserve"> </w:t>
            </w:r>
            <w:r w:rsidRPr="00BF2937">
              <w:rPr>
                <w:rFonts w:ascii="Times New Roman" w:eastAsia="Calibri" w:hAnsi="Times New Roman" w:cs="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14:paraId="60071FCF" w14:textId="6E6E8CE2" w:rsidR="00C44FDC" w:rsidRPr="00C44FDC" w:rsidRDefault="00C44FDC" w:rsidP="00BF2937">
            <w:pPr>
              <w:spacing w:after="0" w:line="240" w:lineRule="auto"/>
              <w:jc w:val="both"/>
              <w:rPr>
                <w:rFonts w:ascii="Times New Roman" w:eastAsia="Times New Roman" w:hAnsi="Times New Roman" w:cs="Times New Roman"/>
                <w:sz w:val="24"/>
                <w:szCs w:val="24"/>
                <w:lang w:eastAsia="ru-RU"/>
              </w:rPr>
            </w:pP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B2C99EB" w14:textId="156BB31A" w:rsidR="00A5524F" w:rsidRDefault="00C44FDC" w:rsidP="00166E07">
            <w:pPr>
              <w:spacing w:before="120" w:after="0" w:line="240" w:lineRule="auto"/>
              <w:jc w:val="both"/>
              <w:rPr>
                <w:rFonts w:ascii="Times New Roman" w:eastAsia="Times New Roman" w:hAnsi="Times New Roman" w:cs="Times New Roman"/>
                <w:sz w:val="24"/>
                <w:szCs w:val="24"/>
                <w:lang w:eastAsia="ru-RU"/>
              </w:rPr>
            </w:pPr>
            <w:r w:rsidRPr="00166E07">
              <w:rPr>
                <w:rFonts w:ascii="Times New Roman" w:eastAsia="Times New Roman" w:hAnsi="Times New Roman" w:cs="Times New Roman"/>
                <w:i/>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w:t>
            </w:r>
            <w:r w:rsidR="00590964" w:rsidRPr="00590964">
              <w:rPr>
                <w:rFonts w:ascii="Times New Roman" w:eastAsia="Times New Roman" w:hAnsi="Times New Roman" w:cs="Times New Roman"/>
                <w:sz w:val="24"/>
                <w:szCs w:val="24"/>
                <w:lang w:eastAsia="ru-RU"/>
              </w:rPr>
              <w:t>Республика Башкортостан,</w:t>
            </w:r>
            <w:r w:rsidR="00590964">
              <w:rPr>
                <w:rFonts w:ascii="Times New Roman" w:eastAsia="Times New Roman" w:hAnsi="Times New Roman" w:cs="Times New Roman"/>
                <w:sz w:val="24"/>
                <w:szCs w:val="24"/>
                <w:lang w:eastAsia="ru-RU"/>
              </w:rPr>
              <w:t xml:space="preserve"> </w:t>
            </w:r>
            <w:proofErr w:type="spellStart"/>
            <w:r w:rsidR="00590964" w:rsidRPr="00590964">
              <w:rPr>
                <w:rFonts w:ascii="Times New Roman" w:eastAsia="Times New Roman" w:hAnsi="Times New Roman" w:cs="Times New Roman"/>
                <w:sz w:val="24"/>
                <w:szCs w:val="24"/>
                <w:lang w:eastAsia="ru-RU"/>
              </w:rPr>
              <w:t>Дуванский</w:t>
            </w:r>
            <w:proofErr w:type="spellEnd"/>
            <w:r w:rsidR="00590964" w:rsidRPr="00590964">
              <w:rPr>
                <w:rFonts w:ascii="Times New Roman" w:eastAsia="Times New Roman" w:hAnsi="Times New Roman" w:cs="Times New Roman"/>
                <w:sz w:val="24"/>
                <w:szCs w:val="24"/>
                <w:lang w:eastAsia="ru-RU"/>
              </w:rPr>
              <w:t xml:space="preserve"> район,</w:t>
            </w:r>
            <w:r w:rsidR="00590964">
              <w:rPr>
                <w:rFonts w:ascii="Times New Roman" w:eastAsia="Times New Roman" w:hAnsi="Times New Roman" w:cs="Times New Roman"/>
                <w:sz w:val="24"/>
                <w:szCs w:val="24"/>
                <w:lang w:eastAsia="ru-RU"/>
              </w:rPr>
              <w:t xml:space="preserve">  </w:t>
            </w:r>
            <w:proofErr w:type="spellStart"/>
            <w:r w:rsidR="00590964" w:rsidRPr="00590964">
              <w:rPr>
                <w:rFonts w:ascii="Times New Roman" w:eastAsia="Times New Roman" w:hAnsi="Times New Roman" w:cs="Times New Roman"/>
                <w:sz w:val="24"/>
                <w:szCs w:val="24"/>
                <w:lang w:eastAsia="ru-RU"/>
              </w:rPr>
              <w:t>с</w:t>
            </w:r>
            <w:proofErr w:type="gramStart"/>
            <w:r w:rsidR="00590964" w:rsidRPr="00590964">
              <w:rPr>
                <w:rFonts w:ascii="Times New Roman" w:eastAsia="Times New Roman" w:hAnsi="Times New Roman" w:cs="Times New Roman"/>
                <w:sz w:val="24"/>
                <w:szCs w:val="24"/>
                <w:lang w:eastAsia="ru-RU"/>
              </w:rPr>
              <w:t>.М</w:t>
            </w:r>
            <w:proofErr w:type="gramEnd"/>
            <w:r w:rsidR="00590964" w:rsidRPr="00590964">
              <w:rPr>
                <w:rFonts w:ascii="Times New Roman" w:eastAsia="Times New Roman" w:hAnsi="Times New Roman" w:cs="Times New Roman"/>
                <w:sz w:val="24"/>
                <w:szCs w:val="24"/>
                <w:lang w:eastAsia="ru-RU"/>
              </w:rPr>
              <w:t>есягутово</w:t>
            </w:r>
            <w:proofErr w:type="spellEnd"/>
            <w:r w:rsidR="00590964" w:rsidRPr="00590964">
              <w:rPr>
                <w:rFonts w:ascii="Times New Roman" w:eastAsia="Times New Roman" w:hAnsi="Times New Roman" w:cs="Times New Roman"/>
                <w:sz w:val="24"/>
                <w:szCs w:val="24"/>
                <w:lang w:eastAsia="ru-RU"/>
              </w:rPr>
              <w:t>,</w:t>
            </w:r>
            <w:r w:rsidR="00590964">
              <w:rPr>
                <w:rFonts w:ascii="Times New Roman" w:eastAsia="Times New Roman" w:hAnsi="Times New Roman" w:cs="Times New Roman"/>
                <w:sz w:val="24"/>
                <w:szCs w:val="24"/>
                <w:lang w:eastAsia="ru-RU"/>
              </w:rPr>
              <w:t xml:space="preserve"> </w:t>
            </w:r>
            <w:r w:rsidR="00590964" w:rsidRPr="00590964">
              <w:rPr>
                <w:rFonts w:ascii="Times New Roman" w:eastAsia="Times New Roman" w:hAnsi="Times New Roman" w:cs="Times New Roman"/>
                <w:sz w:val="24"/>
                <w:szCs w:val="24"/>
                <w:lang w:eastAsia="ru-RU"/>
              </w:rPr>
              <w:t xml:space="preserve"> ул. Светлая, 3</w:t>
            </w:r>
            <w:r w:rsidR="00590964">
              <w:rPr>
                <w:rFonts w:ascii="Times New Roman" w:eastAsia="Times New Roman" w:hAnsi="Times New Roman" w:cs="Times New Roman"/>
                <w:sz w:val="24"/>
                <w:szCs w:val="24"/>
                <w:lang w:eastAsia="ru-RU"/>
              </w:rPr>
              <w:t>/1</w:t>
            </w:r>
          </w:p>
          <w:p w14:paraId="18A1E3A6" w14:textId="3BFE5D60" w:rsidR="00732EEE" w:rsidRPr="00A5524F" w:rsidRDefault="00C44FDC" w:rsidP="00422DC3">
            <w:pPr>
              <w:spacing w:before="120" w:after="0" w:line="240" w:lineRule="auto"/>
              <w:jc w:val="both"/>
              <w:rPr>
                <w:rFonts w:ascii="Times New Roman" w:eastAsia="Times New Roman" w:hAnsi="Times New Roman" w:cs="Times New Roman"/>
                <w:sz w:val="24"/>
                <w:szCs w:val="24"/>
                <w:lang w:eastAsia="ru-RU"/>
              </w:rPr>
            </w:pPr>
            <w:r w:rsidRPr="00732EEE">
              <w:rPr>
                <w:rFonts w:ascii="Times New Roman" w:eastAsia="Times New Roman" w:hAnsi="Times New Roman" w:cs="Times New Roman"/>
                <w:i/>
                <w:sz w:val="24"/>
                <w:szCs w:val="24"/>
                <w:lang w:eastAsia="ru-RU"/>
              </w:rPr>
              <w:t xml:space="preserve">Сроки </w:t>
            </w:r>
            <w:r w:rsidR="000139E1" w:rsidRPr="00732EEE">
              <w:rPr>
                <w:rFonts w:ascii="Times New Roman" w:eastAsia="Times New Roman" w:hAnsi="Times New Roman" w:cs="Times New Roman"/>
                <w:i/>
                <w:sz w:val="24"/>
                <w:szCs w:val="24"/>
                <w:lang w:eastAsia="ru-RU"/>
              </w:rPr>
              <w:t>выполнения работ</w:t>
            </w:r>
            <w:r w:rsidRPr="00732EEE">
              <w:rPr>
                <w:rFonts w:ascii="Times New Roman" w:eastAsia="Times New Roman" w:hAnsi="Times New Roman" w:cs="Times New Roman"/>
                <w:i/>
                <w:sz w:val="24"/>
                <w:szCs w:val="24"/>
                <w:lang w:eastAsia="ru-RU"/>
              </w:rPr>
              <w:t xml:space="preserve">: </w:t>
            </w:r>
            <w:r w:rsidR="00422DC3" w:rsidRPr="00422DC3">
              <w:rPr>
                <w:rFonts w:ascii="Times New Roman" w:eastAsia="Times New Roman" w:hAnsi="Times New Roman" w:cs="Times New Roman"/>
                <w:sz w:val="24"/>
                <w:szCs w:val="24"/>
                <w:lang w:eastAsia="ru-RU"/>
              </w:rPr>
              <w:t xml:space="preserve">Начало работ: с даты заключения </w:t>
            </w:r>
            <w:proofErr w:type="spellStart"/>
            <w:r w:rsidR="00422DC3" w:rsidRPr="00422DC3">
              <w:rPr>
                <w:rFonts w:ascii="Times New Roman" w:eastAsia="Times New Roman" w:hAnsi="Times New Roman" w:cs="Times New Roman"/>
                <w:sz w:val="24"/>
                <w:szCs w:val="24"/>
                <w:lang w:eastAsia="ru-RU"/>
              </w:rPr>
              <w:t>Договора.Сроки</w:t>
            </w:r>
            <w:proofErr w:type="spellEnd"/>
            <w:r w:rsidR="00422DC3" w:rsidRPr="00422DC3">
              <w:rPr>
                <w:rFonts w:ascii="Times New Roman" w:eastAsia="Times New Roman" w:hAnsi="Times New Roman" w:cs="Times New Roman"/>
                <w:sz w:val="24"/>
                <w:szCs w:val="24"/>
                <w:lang w:eastAsia="ru-RU"/>
              </w:rPr>
              <w:t xml:space="preserve"> окончания работ: не позднее 30 сентября 2026г.</w:t>
            </w:r>
          </w:p>
          <w:p w14:paraId="35CEDAB9" w14:textId="015105F7" w:rsidR="007563B1" w:rsidRPr="00803B4A" w:rsidRDefault="007563B1" w:rsidP="00A5524F">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 xml:space="preserve">Поставляемые товары (выполняемые работы, оказываемые услуги) должны соответствовать всем требованиям, </w:t>
            </w:r>
            <w:r w:rsidRPr="00C44FDC">
              <w:rPr>
                <w:rFonts w:ascii="Times New Roman" w:eastAsia="Times New Roman" w:hAnsi="Times New Roman" w:cs="Times New Roman"/>
                <w:bCs/>
                <w:sz w:val="24"/>
                <w:szCs w:val="24"/>
                <w:lang w:val="x-none" w:eastAsia="x-none"/>
              </w:rPr>
              <w:lastRenderedPageBreak/>
              <w:t>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39B7D29A" w:rsidR="00F54AC5" w:rsidRDefault="00BF2937"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3ADE0BE9" w14:textId="77777777" w:rsidR="00BF2937" w:rsidRPr="00BF2937" w:rsidRDefault="00BF2937" w:rsidP="00BF2937">
            <w:pPr>
              <w:widowControl w:val="0"/>
              <w:autoSpaceDE w:val="0"/>
              <w:autoSpaceDN w:val="0"/>
              <w:adjustRightInd w:val="0"/>
              <w:spacing w:after="0" w:line="240" w:lineRule="auto"/>
              <w:jc w:val="both"/>
              <w:rPr>
                <w:rFonts w:ascii="Times New Roman" w:eastAsia="Times New Roman" w:hAnsi="Times New Roman" w:cs="Times New Roman"/>
                <w:color w:val="FF0000"/>
                <w:shd w:val="clear" w:color="auto" w:fill="FFFFFF"/>
                <w:lang w:eastAsia="ru-RU"/>
              </w:rPr>
            </w:pPr>
            <w:r w:rsidRPr="00BF2937">
              <w:rPr>
                <w:rFonts w:ascii="Times New Roman" w:eastAsia="Times New Roman" w:hAnsi="Times New Roman" w:cs="Times New Roman"/>
                <w:color w:val="FF0000"/>
                <w:shd w:val="clear" w:color="auto" w:fill="FFFFFF"/>
                <w:lang w:eastAsia="ru-RU"/>
              </w:rPr>
              <w:t>1.Участник закупки должен быть членом СРО в области строительства объектов капитального строительства, уровень ответственности – не менее  I.                                                                            2. СРО, в котором состоит участник, должна иметь компенсационный фонд обеспечения договорных обязательств.</w:t>
            </w:r>
          </w:p>
          <w:p w14:paraId="48AD4933" w14:textId="737BBDB6" w:rsidR="00BF2937" w:rsidRPr="009C7C9D" w:rsidRDefault="00BF2937" w:rsidP="00BF2937">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C7C9D">
              <w:rPr>
                <w:rFonts w:ascii="Times New Roman" w:eastAsia="Times New Roman" w:hAnsi="Times New Roman" w:cs="Times New Roman"/>
                <w:color w:val="FF0000"/>
                <w:shd w:val="clear" w:color="auto" w:fill="FFFFFF"/>
                <w:lang w:eastAsia="ru-RU"/>
              </w:rPr>
              <w:t xml:space="preserve">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I.      </w:t>
            </w:r>
          </w:p>
          <w:p w14:paraId="482DC758" w14:textId="37007B88" w:rsidR="00C44FDC" w:rsidRPr="00C44FDC" w:rsidRDefault="00C44FDC" w:rsidP="000C30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69E8D541"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14</w:t>
            </w:r>
            <w:r w:rsidR="005D4DF3">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ма</w:t>
            </w:r>
            <w:r w:rsidR="001E1104">
              <w:rPr>
                <w:rFonts w:ascii="Times New Roman" w:eastAsia="Times New Roman" w:hAnsi="Times New Roman" w:cs="Times New Roman"/>
                <w:sz w:val="24"/>
                <w:szCs w:val="24"/>
                <w:lang w:eastAsia="ru-RU"/>
              </w:rPr>
              <w:t>я</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482BA504" w:rsidR="00C44FDC" w:rsidRPr="00C44FDC" w:rsidRDefault="00A61015" w:rsidP="0019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EB03C8">
              <w:rPr>
                <w:rFonts w:ascii="Times New Roman" w:eastAsia="Times New Roman" w:hAnsi="Times New Roman" w:cs="Times New Roman"/>
                <w:sz w:val="24"/>
                <w:szCs w:val="24"/>
                <w:lang w:eastAsia="ru-RU"/>
              </w:rPr>
              <w:t>1</w:t>
            </w:r>
            <w:r w:rsidR="00191710">
              <w:rPr>
                <w:rFonts w:ascii="Times New Roman" w:eastAsia="Times New Roman" w:hAnsi="Times New Roman" w:cs="Times New Roman"/>
                <w:sz w:val="24"/>
                <w:szCs w:val="24"/>
                <w:lang w:eastAsia="ru-RU"/>
              </w:rPr>
              <w:t>9</w:t>
            </w:r>
            <w:r w:rsidR="00351B67">
              <w:rPr>
                <w:rFonts w:ascii="Times New Roman" w:eastAsia="Times New Roman" w:hAnsi="Times New Roman" w:cs="Times New Roman"/>
                <w:sz w:val="24"/>
                <w:szCs w:val="24"/>
                <w:lang w:eastAsia="ru-RU"/>
              </w:rPr>
              <w:t xml:space="preserve"> </w:t>
            </w:r>
            <w:r w:rsidR="00CB29A0">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ма</w:t>
            </w:r>
            <w:r w:rsidR="00F974BA">
              <w:rPr>
                <w:rFonts w:ascii="Times New Roman" w:eastAsia="Times New Roman" w:hAnsi="Times New Roman" w:cs="Times New Roman"/>
                <w:sz w:val="24"/>
                <w:szCs w:val="24"/>
                <w:lang w:eastAsia="ru-RU"/>
              </w:rPr>
              <w:t>я</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91710">
              <w:rPr>
                <w:rFonts w:ascii="Times New Roman" w:eastAsia="Times New Roman" w:hAnsi="Times New Roman" w:cs="Times New Roman"/>
                <w:sz w:val="24"/>
                <w:szCs w:val="24"/>
                <w:lang w:eastAsia="ru-RU"/>
              </w:rPr>
              <w:t>5</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6C11BFAB" w:rsidR="00C44FDC" w:rsidRPr="00C44FDC" w:rsidRDefault="00A61015" w:rsidP="0019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191710">
              <w:rPr>
                <w:rFonts w:ascii="Times New Roman" w:eastAsia="Times New Roman" w:hAnsi="Times New Roman" w:cs="Times New Roman"/>
                <w:sz w:val="24"/>
                <w:szCs w:val="24"/>
                <w:lang w:eastAsia="x-none"/>
              </w:rPr>
              <w:t>30</w:t>
            </w:r>
            <w:r w:rsidR="001025B1">
              <w:rPr>
                <w:rFonts w:ascii="Times New Roman" w:eastAsia="Times New Roman" w:hAnsi="Times New Roman" w:cs="Times New Roman"/>
                <w:sz w:val="24"/>
                <w:szCs w:val="24"/>
                <w:lang w:eastAsia="x-none"/>
              </w:rPr>
              <w:t>.0</w:t>
            </w:r>
            <w:r w:rsidR="00191710">
              <w:rPr>
                <w:rFonts w:ascii="Times New Roman" w:eastAsia="Times New Roman" w:hAnsi="Times New Roman" w:cs="Times New Roman"/>
                <w:sz w:val="24"/>
                <w:szCs w:val="24"/>
                <w:lang w:eastAsia="x-none"/>
              </w:rPr>
              <w:t>4</w:t>
            </w:r>
            <w:r w:rsidR="001025B1">
              <w:rPr>
                <w:rFonts w:ascii="Times New Roman" w:eastAsia="Times New Roman" w:hAnsi="Times New Roman" w:cs="Times New Roman"/>
                <w:sz w:val="24"/>
                <w:szCs w:val="24"/>
                <w:lang w:eastAsia="x-none"/>
              </w:rPr>
              <w:t>.202</w:t>
            </w:r>
            <w:r w:rsidR="00191710">
              <w:rPr>
                <w:rFonts w:ascii="Times New Roman" w:eastAsia="Times New Roman" w:hAnsi="Times New Roman" w:cs="Times New Roman"/>
                <w:sz w:val="24"/>
                <w:szCs w:val="24"/>
                <w:lang w:eastAsia="x-none"/>
              </w:rPr>
              <w:t>5</w:t>
            </w:r>
            <w:r w:rsidR="001025B1">
              <w:rPr>
                <w:rFonts w:ascii="Times New Roman" w:eastAsia="Times New Roman" w:hAnsi="Times New Roman" w:cs="Times New Roman"/>
                <w:sz w:val="24"/>
                <w:szCs w:val="24"/>
                <w:lang w:eastAsia="x-none"/>
              </w:rPr>
              <w:t xml:space="preserve">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5E88907B" w:rsidR="00CE5D67" w:rsidRPr="000C61A4" w:rsidRDefault="00DF1BCC" w:rsidP="0019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191710" w:rsidRPr="00191710">
              <w:rPr>
                <w:rFonts w:ascii="Times New Roman" w:eastAsia="Times New Roman" w:hAnsi="Times New Roman" w:cs="Times New Roman"/>
                <w:sz w:val="24"/>
                <w:szCs w:val="24"/>
                <w:lang w:eastAsia="x-none"/>
              </w:rPr>
              <w:t>20</w:t>
            </w:r>
            <w:r w:rsidRPr="00DF1BCC">
              <w:rPr>
                <w:rFonts w:ascii="Times New Roman" w:eastAsia="Times New Roman" w:hAnsi="Times New Roman" w:cs="Times New Roman"/>
                <w:sz w:val="24"/>
                <w:szCs w:val="24"/>
                <w:lang w:val="x-none" w:eastAsia="x-none"/>
              </w:rPr>
              <w:t xml:space="preserve">» </w:t>
            </w:r>
            <w:r w:rsidR="00E00E77">
              <w:rPr>
                <w:rFonts w:ascii="Times New Roman" w:eastAsia="Times New Roman" w:hAnsi="Times New Roman" w:cs="Times New Roman"/>
                <w:sz w:val="24"/>
                <w:szCs w:val="24"/>
                <w:lang w:eastAsia="x-none"/>
              </w:rPr>
              <w:t xml:space="preserve"> </w:t>
            </w:r>
            <w:r w:rsidR="00191710">
              <w:rPr>
                <w:rFonts w:ascii="Times New Roman" w:eastAsia="Times New Roman" w:hAnsi="Times New Roman" w:cs="Times New Roman"/>
                <w:sz w:val="24"/>
                <w:szCs w:val="24"/>
                <w:lang w:eastAsia="x-none"/>
              </w:rPr>
              <w:t>ма</w:t>
            </w:r>
            <w:r w:rsidR="009C7C9D">
              <w:rPr>
                <w:rFonts w:ascii="Times New Roman" w:eastAsia="Times New Roman" w:hAnsi="Times New Roman" w:cs="Times New Roman"/>
                <w:sz w:val="24"/>
                <w:szCs w:val="24"/>
                <w:lang w:eastAsia="x-none"/>
              </w:rPr>
              <w:t>я</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191710">
              <w:rPr>
                <w:rFonts w:ascii="Times New Roman" w:eastAsia="Times New Roman" w:hAnsi="Times New Roman" w:cs="Times New Roman"/>
                <w:sz w:val="24"/>
                <w:szCs w:val="24"/>
                <w:lang w:eastAsia="x-none"/>
              </w:rPr>
              <w:t>5</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19CA8F69" w:rsidR="00C44FDC" w:rsidRPr="00C44FDC" w:rsidRDefault="00A85768" w:rsidP="0019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191710" w:rsidRPr="00191710">
              <w:rPr>
                <w:rFonts w:ascii="Times New Roman" w:eastAsia="Times New Roman" w:hAnsi="Times New Roman" w:cs="Times New Roman"/>
                <w:sz w:val="24"/>
                <w:szCs w:val="24"/>
                <w:lang w:eastAsia="ru-RU"/>
              </w:rPr>
              <w:t>20</w:t>
            </w:r>
            <w:r w:rsidRPr="00A85768">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ма</w:t>
            </w:r>
            <w:r w:rsidRPr="00A85768">
              <w:rPr>
                <w:rFonts w:ascii="Times New Roman" w:eastAsia="Times New Roman" w:hAnsi="Times New Roman" w:cs="Times New Roman"/>
                <w:sz w:val="24"/>
                <w:szCs w:val="24"/>
                <w:lang w:eastAsia="ru-RU"/>
              </w:rPr>
              <w:t xml:space="preserve">я </w:t>
            </w:r>
            <w:r w:rsidR="00434C39">
              <w:rPr>
                <w:rFonts w:ascii="Times New Roman" w:eastAsia="Times New Roman" w:hAnsi="Times New Roman" w:cs="Times New Roman"/>
                <w:sz w:val="24"/>
                <w:szCs w:val="24"/>
                <w:lang w:eastAsia="ru-RU"/>
              </w:rPr>
              <w:t>2</w:t>
            </w:r>
            <w:r w:rsidR="00FE7EB4" w:rsidRPr="00FE7EB4">
              <w:rPr>
                <w:rFonts w:ascii="Times New Roman" w:eastAsia="Times New Roman" w:hAnsi="Times New Roman" w:cs="Times New Roman"/>
                <w:sz w:val="24"/>
                <w:szCs w:val="24"/>
                <w:lang w:eastAsia="ru-RU"/>
              </w:rPr>
              <w:t>02</w:t>
            </w:r>
            <w:r w:rsidR="00191710">
              <w:rPr>
                <w:rFonts w:ascii="Times New Roman" w:eastAsia="Times New Roman" w:hAnsi="Times New Roman" w:cs="Times New Roman"/>
                <w:sz w:val="24"/>
                <w:szCs w:val="24"/>
                <w:lang w:eastAsia="ru-RU"/>
              </w:rPr>
              <w:t>5</w:t>
            </w:r>
            <w:r w:rsidR="00FE7EB4" w:rsidRPr="00FE7EB4">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с 10.00 по местному времени, часовой пояс ЕКБ)</w:t>
            </w:r>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проведения </w:t>
            </w:r>
            <w:r w:rsidR="00A90F3F">
              <w:rPr>
                <w:rFonts w:ascii="Times New Roman" w:eastAsia="Times New Roman" w:hAnsi="Times New Roman" w:cs="Times New Roman"/>
                <w:i/>
                <w:lang w:eastAsia="ru-RU"/>
              </w:rPr>
              <w:lastRenderedPageBreak/>
              <w:t>электронного аукциона</w:t>
            </w:r>
          </w:p>
        </w:tc>
        <w:tc>
          <w:tcPr>
            <w:tcW w:w="6804" w:type="dxa"/>
            <w:shd w:val="clear" w:color="auto" w:fill="auto"/>
          </w:tcPr>
          <w:p w14:paraId="70569D06" w14:textId="2E1D1FE6" w:rsidR="00C44FDC" w:rsidRPr="00C44FDC" w:rsidRDefault="00A85768" w:rsidP="0019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lastRenderedPageBreak/>
              <w:t>«</w:t>
            </w:r>
            <w:r w:rsidR="00191710">
              <w:rPr>
                <w:rFonts w:ascii="Times New Roman" w:eastAsia="Times New Roman" w:hAnsi="Times New Roman" w:cs="Times New Roman"/>
                <w:sz w:val="24"/>
                <w:szCs w:val="24"/>
                <w:lang w:eastAsia="ru-RU"/>
              </w:rPr>
              <w:t>21</w:t>
            </w:r>
            <w:r w:rsidRPr="00A85768">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ма</w:t>
            </w:r>
            <w:r w:rsidRPr="00A85768">
              <w:rPr>
                <w:rFonts w:ascii="Times New Roman" w:eastAsia="Times New Roman" w:hAnsi="Times New Roman" w:cs="Times New Roman"/>
                <w:sz w:val="24"/>
                <w:szCs w:val="24"/>
                <w:lang w:eastAsia="ru-RU"/>
              </w:rPr>
              <w:t xml:space="preserve">я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 xml:space="preserve">5 </w:t>
            </w:r>
            <w:r w:rsidR="008D400E" w:rsidRPr="008D400E">
              <w:rPr>
                <w:rFonts w:ascii="Times New Roman" w:eastAsia="Times New Roman" w:hAnsi="Times New Roman" w:cs="Times New Roman"/>
                <w:sz w:val="24"/>
                <w:szCs w:val="24"/>
                <w:lang w:eastAsia="ru-RU"/>
              </w:rPr>
              <w:t xml:space="preserve">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10</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 xml:space="preserve">по местному времени, часовой </w:t>
            </w:r>
            <w:r w:rsidR="0001158D" w:rsidRPr="0001158D">
              <w:rPr>
                <w:rFonts w:ascii="Times New Roman" w:eastAsia="Times New Roman" w:hAnsi="Times New Roman" w:cs="Times New Roman"/>
                <w:sz w:val="24"/>
                <w:szCs w:val="24"/>
                <w:lang w:eastAsia="ru-RU"/>
              </w:rPr>
              <w:lastRenderedPageBreak/>
              <w:t>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2A178C44" w:rsidR="00C44FDC" w:rsidRPr="00C44FDC" w:rsidRDefault="00A85768" w:rsidP="0019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1710">
              <w:rPr>
                <w:rFonts w:ascii="Times New Roman" w:eastAsia="Times New Roman" w:hAnsi="Times New Roman" w:cs="Times New Roman"/>
                <w:sz w:val="24"/>
                <w:szCs w:val="24"/>
                <w:lang w:eastAsia="ru-RU"/>
              </w:rPr>
              <w:t>22</w:t>
            </w:r>
            <w:r w:rsidRPr="00A85768">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ма</w:t>
            </w:r>
            <w:r w:rsidRPr="00A85768">
              <w:rPr>
                <w:rFonts w:ascii="Times New Roman" w:eastAsia="Times New Roman" w:hAnsi="Times New Roman" w:cs="Times New Roman"/>
                <w:sz w:val="24"/>
                <w:szCs w:val="24"/>
                <w:lang w:eastAsia="ru-RU"/>
              </w:rPr>
              <w:t xml:space="preserve">я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191710">
              <w:rPr>
                <w:rFonts w:ascii="Times New Roman" w:eastAsia="Times New Roman" w:hAnsi="Times New Roman" w:cs="Times New Roman"/>
                <w:sz w:val="24"/>
                <w:szCs w:val="24"/>
                <w:lang w:eastAsia="ru-RU"/>
              </w:rPr>
              <w:t>0</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3"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64A06148" w14:textId="5DCD45A2" w:rsidR="00AE63D5" w:rsidRPr="00AE63D5" w:rsidRDefault="00AE63D5" w:rsidP="00AE63D5">
            <w:pPr>
              <w:spacing w:after="0" w:line="240" w:lineRule="auto"/>
              <w:jc w:val="both"/>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Pr="00AE63D5">
              <w:rPr>
                <w:rFonts w:ascii="Times New Roman" w:eastAsia="Times New Roman" w:hAnsi="Times New Roman" w:cs="Times New Roman"/>
                <w:sz w:val="24"/>
                <w:szCs w:val="24"/>
                <w:lang w:eastAsia="ru-RU"/>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14:paraId="16A1E4C5"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Заказчик возвращает Генеральному подрядчику денежные средства, удержанные в качестве обеспечения исполнения Договора в следующем порядке:</w:t>
            </w:r>
          </w:p>
          <w:p w14:paraId="5BD2094B"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- 80% в течение 60 календарных дней после получения разрешения на ввод объекта в эксплуатацию;</w:t>
            </w:r>
          </w:p>
          <w:p w14:paraId="23BB7723"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- 20% (или остаток) в течение 60 календарных дней после выполнения сезонных работ и исполнения всех договорных обязательств.</w:t>
            </w:r>
          </w:p>
          <w:p w14:paraId="49673C3C" w14:textId="4062EB3D" w:rsidR="00891318" w:rsidRPr="00E3125F" w:rsidRDefault="00AE63D5" w:rsidP="00AE63D5">
            <w:pPr>
              <w:spacing w:after="0" w:line="240" w:lineRule="auto"/>
              <w:jc w:val="both"/>
              <w:rPr>
                <w:rFonts w:ascii="Times New Roman" w:eastAsia="Times New Roman" w:hAnsi="Times New Roman" w:cs="Times New Roman"/>
                <w:sz w:val="24"/>
                <w:szCs w:val="24"/>
                <w:lang w:eastAsia="ru-RU"/>
              </w:rPr>
            </w:pPr>
            <w:r w:rsidRPr="00AE63D5">
              <w:rPr>
                <w:rFonts w:ascii="Times New Roman" w:eastAsia="Times New Roman" w:hAnsi="Times New Roman" w:cs="Times New Roman"/>
                <w:sz w:val="24"/>
                <w:szCs w:val="24"/>
                <w:lang w:eastAsia="ru-RU"/>
              </w:rPr>
              <w:t xml:space="preserve"> В случае неисполнения или ненадлежащего исполнения Генеральным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r>
              <w:rPr>
                <w:rFonts w:ascii="Times New Roman" w:eastAsia="Calibri" w:hAnsi="Times New Roman" w:cs="Times New Roman"/>
                <w:sz w:val="24"/>
                <w:szCs w:val="24"/>
              </w:rPr>
              <w:t xml:space="preserve"> </w:t>
            </w: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4E3F2F03" w:rsidR="00C44FDC" w:rsidRPr="00C44FDC" w:rsidRDefault="00191710" w:rsidP="00C44FDC">
            <w:pPr>
              <w:autoSpaceDE w:val="0"/>
              <w:autoSpaceDN w:val="0"/>
              <w:spacing w:after="0" w:line="240" w:lineRule="auto"/>
              <w:textAlignment w:val="baseline"/>
              <w:rPr>
                <w:rFonts w:ascii="Times New Roman" w:eastAsia="Times New Roman" w:hAnsi="Times New Roman" w:cs="Times New Roman"/>
                <w:i/>
                <w:lang w:eastAsia="ru-RU"/>
              </w:rPr>
            </w:pPr>
            <w:r w:rsidRPr="00B223F7">
              <w:rPr>
                <w:rFonts w:ascii="Times New Roman" w:eastAsia="Times New Roman" w:hAnsi="Times New Roman" w:cs="Times New Roman"/>
                <w:i/>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w:t>
            </w:r>
            <w:r w:rsidRPr="00B223F7">
              <w:rPr>
                <w:rFonts w:ascii="Times New Roman" w:eastAsia="Times New Roman" w:hAnsi="Times New Roman" w:cs="Times New Roman"/>
                <w:i/>
                <w:lang w:eastAsia="ru-RU"/>
              </w:rPr>
              <w:lastRenderedPageBreak/>
              <w:t>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установлены в 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80" w:rightFromText="180" w:horzAnchor="margin" w:tblpY="485"/>
              <w:tblOverlap w:val="never"/>
              <w:tblW w:w="0" w:type="auto"/>
              <w:tblLayout w:type="fixed"/>
              <w:tblLook w:val="04A0" w:firstRow="1" w:lastRow="0" w:firstColumn="1" w:lastColumn="0" w:noHBand="0" w:noVBand="1"/>
            </w:tblPr>
            <w:tblGrid>
              <w:gridCol w:w="4443"/>
              <w:gridCol w:w="1968"/>
            </w:tblGrid>
            <w:tr w:rsidR="00191710" w:rsidRPr="00B223F7" w14:paraId="29F77606" w14:textId="77777777" w:rsidTr="00191710">
              <w:trPr>
                <w:trHeight w:val="2780"/>
              </w:trPr>
              <w:tc>
                <w:tcPr>
                  <w:tcW w:w="4443" w:type="dxa"/>
                </w:tcPr>
                <w:p w14:paraId="3CCB863D" w14:textId="77777777" w:rsidR="00191710" w:rsidRPr="00B223F7" w:rsidRDefault="00191710" w:rsidP="00E50AE2">
                  <w:pPr>
                    <w:jc w:val="both"/>
                  </w:pPr>
                  <w:r w:rsidRPr="00B223F7">
                    <w:rPr>
                      <w:b/>
                      <w:bCs/>
                    </w:rPr>
                    <w:lastRenderedPageBreak/>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968" w:type="dxa"/>
                </w:tcPr>
                <w:p w14:paraId="66E9949F" w14:textId="77777777" w:rsidR="00191710" w:rsidRPr="00B223F7" w:rsidRDefault="00191710" w:rsidP="00E50AE2">
                  <w:pPr>
                    <w:jc w:val="both"/>
                  </w:pPr>
                  <w:r w:rsidRPr="00B223F7">
                    <w:rPr>
                      <w:color w:val="FF0000"/>
                    </w:rPr>
                    <w:t>Не установлено</w:t>
                  </w:r>
                </w:p>
              </w:tc>
            </w:tr>
            <w:tr w:rsidR="00191710" w:rsidRPr="00B223F7" w14:paraId="15473F93" w14:textId="77777777" w:rsidTr="00191710">
              <w:trPr>
                <w:trHeight w:val="2780"/>
              </w:trPr>
              <w:tc>
                <w:tcPr>
                  <w:tcW w:w="4443" w:type="dxa"/>
                </w:tcPr>
                <w:p w14:paraId="15778AFD" w14:textId="77777777" w:rsidR="00191710" w:rsidRPr="00B223F7" w:rsidRDefault="00191710" w:rsidP="00E50AE2">
                  <w:pPr>
                    <w:jc w:val="both"/>
                  </w:pPr>
                  <w:r w:rsidRPr="00B223F7">
                    <w:rPr>
                      <w:b/>
                      <w:bCs/>
                    </w:rPr>
                    <w:lastRenderedPageBreak/>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968" w:type="dxa"/>
                </w:tcPr>
                <w:p w14:paraId="261BD857" w14:textId="77777777" w:rsidR="00191710" w:rsidRPr="00B223F7" w:rsidRDefault="00191710" w:rsidP="00E50AE2">
                  <w:pPr>
                    <w:jc w:val="both"/>
                  </w:pPr>
                  <w:r w:rsidRPr="00B223F7">
                    <w:rPr>
                      <w:color w:val="FF0000"/>
                    </w:rPr>
                    <w:t>Не установлено</w:t>
                  </w:r>
                </w:p>
              </w:tc>
            </w:tr>
            <w:tr w:rsidR="00191710" w:rsidRPr="00B223F7" w14:paraId="6C148965" w14:textId="77777777" w:rsidTr="00191710">
              <w:trPr>
                <w:trHeight w:val="2228"/>
              </w:trPr>
              <w:tc>
                <w:tcPr>
                  <w:tcW w:w="4443" w:type="dxa"/>
                </w:tcPr>
                <w:p w14:paraId="695EA631" w14:textId="77777777" w:rsidR="00191710" w:rsidRPr="00B223F7" w:rsidRDefault="00191710" w:rsidP="00E50AE2">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6F1AA40D" w14:textId="77777777" w:rsidR="00191710" w:rsidRPr="00B223F7" w:rsidRDefault="00191710" w:rsidP="00E50AE2">
                  <w:pPr>
                    <w:jc w:val="both"/>
                  </w:pPr>
                  <w:r w:rsidRPr="00B223F7">
                    <w:rPr>
                      <w:color w:val="FF0000"/>
                    </w:rPr>
                    <w:t>Не установлено</w:t>
                  </w:r>
                </w:p>
              </w:tc>
            </w:tr>
          </w:tbl>
          <w:p w14:paraId="3435620B" w14:textId="77777777" w:rsidR="00C44FDC" w:rsidRPr="00C44FDC" w:rsidRDefault="00C44FDC" w:rsidP="00191710">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22"/>
      </w:tblGrid>
      <w:tr w:rsidR="00264340" w:rsidRPr="00264340" w14:paraId="472A5BC1" w14:textId="77777777" w:rsidTr="00264340">
        <w:trPr>
          <w:trHeight w:val="347"/>
        </w:trPr>
        <w:tc>
          <w:tcPr>
            <w:tcW w:w="2802" w:type="dxa"/>
          </w:tcPr>
          <w:p w14:paraId="5FCAACD4" w14:textId="77777777" w:rsidR="00264340" w:rsidRPr="00264340" w:rsidRDefault="00264340" w:rsidP="00264340">
            <w:pPr>
              <w:spacing w:after="0" w:line="240" w:lineRule="auto"/>
              <w:ind w:left="284"/>
              <w:jc w:val="both"/>
              <w:rPr>
                <w:rFonts w:ascii="Times New Roman" w:eastAsia="Calibri" w:hAnsi="Times New Roman" w:cs="Times New Roman"/>
                <w:b/>
                <w:sz w:val="21"/>
                <w:szCs w:val="21"/>
              </w:rPr>
            </w:pPr>
            <w:r w:rsidRPr="00264340">
              <w:rPr>
                <w:rFonts w:ascii="Times New Roman" w:eastAsia="Calibri" w:hAnsi="Times New Roman" w:cs="Times New Roman"/>
                <w:b/>
                <w:sz w:val="21"/>
                <w:szCs w:val="21"/>
              </w:rPr>
              <w:t>Инициатор закупки</w:t>
            </w:r>
          </w:p>
        </w:tc>
        <w:tc>
          <w:tcPr>
            <w:tcW w:w="7622" w:type="dxa"/>
          </w:tcPr>
          <w:p w14:paraId="7D55299D"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Производственный отдел ГУП «ФЖС РБ»</w:t>
            </w:r>
          </w:p>
        </w:tc>
      </w:tr>
      <w:tr w:rsidR="00264340" w:rsidRPr="00264340" w14:paraId="09897E14" w14:textId="77777777" w:rsidTr="00264340">
        <w:trPr>
          <w:trHeight w:val="514"/>
        </w:trPr>
        <w:tc>
          <w:tcPr>
            <w:tcW w:w="2802" w:type="dxa"/>
          </w:tcPr>
          <w:p w14:paraId="3F0ECE5C" w14:textId="77777777" w:rsidR="00264340" w:rsidRPr="00264340" w:rsidRDefault="00264340" w:rsidP="00264340">
            <w:pPr>
              <w:spacing w:after="0" w:line="240" w:lineRule="auto"/>
              <w:ind w:left="284"/>
              <w:jc w:val="both"/>
              <w:rPr>
                <w:rFonts w:ascii="Times New Roman" w:eastAsia="Calibri" w:hAnsi="Times New Roman" w:cs="Times New Roman"/>
                <w:b/>
                <w:sz w:val="21"/>
                <w:szCs w:val="21"/>
              </w:rPr>
            </w:pPr>
            <w:r w:rsidRPr="00264340">
              <w:rPr>
                <w:rFonts w:ascii="Times New Roman" w:eastAsia="Calibri" w:hAnsi="Times New Roman" w:cs="Times New Roman"/>
                <w:b/>
                <w:sz w:val="21"/>
                <w:szCs w:val="21"/>
              </w:rPr>
              <w:t>Предмет закупки</w:t>
            </w:r>
          </w:p>
        </w:tc>
        <w:tc>
          <w:tcPr>
            <w:tcW w:w="7622" w:type="dxa"/>
          </w:tcPr>
          <w:p w14:paraId="360F71B2" w14:textId="525E4E8D" w:rsidR="00264340" w:rsidRPr="00264340" w:rsidRDefault="00264340" w:rsidP="00264340">
            <w:pPr>
              <w:spacing w:after="0" w:line="240" w:lineRule="auto"/>
              <w:contextualSpacing/>
              <w:jc w:val="both"/>
              <w:rPr>
                <w:rFonts w:ascii="Times New Roman" w:eastAsia="Times New Roman" w:hAnsi="Times New Roman" w:cs="Times New Roman"/>
                <w:sz w:val="21"/>
                <w:szCs w:val="21"/>
                <w:lang w:eastAsia="ru-RU"/>
              </w:rPr>
            </w:pPr>
            <w:r w:rsidRPr="00264340">
              <w:rPr>
                <w:rFonts w:ascii="Times New Roman" w:eastAsia="Times New Roman" w:hAnsi="Times New Roman" w:cs="Times New Roman"/>
                <w:sz w:val="21"/>
                <w:szCs w:val="21"/>
                <w:lang w:eastAsia="ru-RU"/>
              </w:rPr>
              <w:t>Организация строительства, в том числе по выполнению строительно-монтажных работ с приобретением и ПНР монтируемого оборудования</w:t>
            </w:r>
            <w:r w:rsidRPr="00264340">
              <w:rPr>
                <w:rFonts w:ascii="Times New Roman" w:eastAsia="Times New Roman" w:hAnsi="Times New Roman" w:cs="Times New Roman"/>
                <w:sz w:val="24"/>
                <w:szCs w:val="24"/>
                <w:lang w:eastAsia="ru-RU"/>
              </w:rPr>
              <w:t xml:space="preserve"> </w:t>
            </w:r>
            <w:r w:rsidRPr="00264340">
              <w:rPr>
                <w:rFonts w:ascii="Times New Roman" w:eastAsia="Times New Roman" w:hAnsi="Times New Roman" w:cs="Times New Roman"/>
                <w:sz w:val="21"/>
                <w:szCs w:val="21"/>
                <w:lang w:eastAsia="ru-RU"/>
              </w:rPr>
              <w:t>«Многоквартирный жилой дом по ул.</w:t>
            </w:r>
            <w:r w:rsidR="008C69C2">
              <w:rPr>
                <w:rFonts w:ascii="Times New Roman" w:eastAsia="Times New Roman" w:hAnsi="Times New Roman" w:cs="Times New Roman"/>
                <w:sz w:val="21"/>
                <w:szCs w:val="21"/>
                <w:lang w:eastAsia="ru-RU"/>
              </w:rPr>
              <w:t xml:space="preserve"> </w:t>
            </w:r>
            <w:r w:rsidRPr="00264340">
              <w:rPr>
                <w:rFonts w:ascii="Times New Roman" w:eastAsia="Times New Roman" w:hAnsi="Times New Roman" w:cs="Times New Roman"/>
                <w:sz w:val="21"/>
                <w:szCs w:val="21"/>
                <w:lang w:eastAsia="ru-RU"/>
              </w:rPr>
              <w:t>Светлая, 3/1 в с.</w:t>
            </w:r>
            <w:r w:rsidR="008C69C2">
              <w:rPr>
                <w:rFonts w:ascii="Times New Roman" w:eastAsia="Times New Roman" w:hAnsi="Times New Roman" w:cs="Times New Roman"/>
                <w:sz w:val="21"/>
                <w:szCs w:val="21"/>
                <w:lang w:eastAsia="ru-RU"/>
              </w:rPr>
              <w:t xml:space="preserve"> </w:t>
            </w:r>
            <w:r w:rsidRPr="00264340">
              <w:rPr>
                <w:rFonts w:ascii="Times New Roman" w:eastAsia="Times New Roman" w:hAnsi="Times New Roman" w:cs="Times New Roman"/>
                <w:sz w:val="21"/>
                <w:szCs w:val="21"/>
                <w:lang w:eastAsia="ru-RU"/>
              </w:rPr>
              <w:t>Месягутово Дуванского района Республики Башкортостан».</w:t>
            </w:r>
          </w:p>
        </w:tc>
      </w:tr>
      <w:tr w:rsidR="00264340" w:rsidRPr="00264340" w14:paraId="44544D6E" w14:textId="77777777" w:rsidTr="00264340">
        <w:trPr>
          <w:trHeight w:val="433"/>
        </w:trPr>
        <w:tc>
          <w:tcPr>
            <w:tcW w:w="10424" w:type="dxa"/>
            <w:gridSpan w:val="2"/>
            <w:vAlign w:val="center"/>
          </w:tcPr>
          <w:p w14:paraId="7AB67285" w14:textId="77777777" w:rsidR="00264340" w:rsidRPr="00264340" w:rsidRDefault="00264340" w:rsidP="00264340">
            <w:pPr>
              <w:spacing w:after="0" w:line="240" w:lineRule="auto"/>
              <w:jc w:val="center"/>
              <w:rPr>
                <w:rFonts w:ascii="Times New Roman" w:eastAsia="Calibri" w:hAnsi="Times New Roman" w:cs="Times New Roman"/>
                <w:b/>
                <w:sz w:val="21"/>
                <w:szCs w:val="21"/>
              </w:rPr>
            </w:pPr>
            <w:r w:rsidRPr="00264340">
              <w:rPr>
                <w:rFonts w:ascii="Times New Roman" w:eastAsia="Calibri" w:hAnsi="Times New Roman" w:cs="Times New Roman"/>
                <w:b/>
                <w:sz w:val="21"/>
                <w:szCs w:val="21"/>
              </w:rPr>
              <w:t>Техническое задание</w:t>
            </w:r>
          </w:p>
        </w:tc>
      </w:tr>
      <w:tr w:rsidR="00264340" w:rsidRPr="00264340" w14:paraId="48C1EA3B" w14:textId="77777777" w:rsidTr="00264340">
        <w:trPr>
          <w:trHeight w:val="411"/>
        </w:trPr>
        <w:tc>
          <w:tcPr>
            <w:tcW w:w="2802" w:type="dxa"/>
          </w:tcPr>
          <w:p w14:paraId="712B4B33" w14:textId="77777777" w:rsidR="00264340" w:rsidRPr="00264340" w:rsidRDefault="00264340" w:rsidP="00264340">
            <w:pPr>
              <w:numPr>
                <w:ilvl w:val="1"/>
                <w:numId w:val="9"/>
              </w:numPr>
              <w:tabs>
                <w:tab w:val="left" w:pos="0"/>
              </w:tabs>
              <w:spacing w:after="0" w:line="240" w:lineRule="auto"/>
              <w:ind w:left="0" w:firstLine="0"/>
              <w:rPr>
                <w:rFonts w:ascii="Times New Roman" w:eastAsia="Calibri" w:hAnsi="Times New Roman" w:cs="Times New Roman"/>
                <w:b/>
                <w:sz w:val="21"/>
                <w:szCs w:val="21"/>
              </w:rPr>
            </w:pPr>
            <w:r w:rsidRPr="00264340">
              <w:rPr>
                <w:rFonts w:ascii="Times New Roman" w:eastAsia="Calibri" w:hAnsi="Times New Roman" w:cs="Times New Roman"/>
                <w:b/>
                <w:sz w:val="21"/>
                <w:szCs w:val="21"/>
              </w:rPr>
              <w:t>Заказчик</w:t>
            </w:r>
          </w:p>
        </w:tc>
        <w:tc>
          <w:tcPr>
            <w:tcW w:w="7622" w:type="dxa"/>
            <w:vAlign w:val="center"/>
          </w:tcPr>
          <w:p w14:paraId="24F0E65B" w14:textId="77777777" w:rsidR="00264340" w:rsidRPr="00264340" w:rsidRDefault="00264340" w:rsidP="00264340">
            <w:pPr>
              <w:tabs>
                <w:tab w:val="left" w:pos="0"/>
              </w:tabs>
              <w:suppressAutoHyphens/>
              <w:spacing w:after="0" w:line="240" w:lineRule="auto"/>
              <w:rPr>
                <w:rFonts w:ascii="Times New Roman" w:eastAsia="Calibri" w:hAnsi="Times New Roman" w:cs="Times New Roman"/>
                <w:sz w:val="21"/>
                <w:szCs w:val="21"/>
              </w:rPr>
            </w:pPr>
            <w:r w:rsidRPr="00264340">
              <w:rPr>
                <w:rFonts w:ascii="Times New Roman" w:eastAsia="Times New Roman" w:hAnsi="Times New Roman" w:cs="Times New Roman"/>
                <w:color w:val="000000"/>
                <w:sz w:val="21"/>
                <w:szCs w:val="21"/>
                <w:lang w:eastAsia="ru-RU"/>
              </w:rPr>
              <w:t>ГУП «ФЖС РБ»</w:t>
            </w:r>
          </w:p>
        </w:tc>
      </w:tr>
      <w:tr w:rsidR="00264340" w:rsidRPr="00264340" w14:paraId="001489B1" w14:textId="77777777" w:rsidTr="00264340">
        <w:trPr>
          <w:trHeight w:val="416"/>
        </w:trPr>
        <w:tc>
          <w:tcPr>
            <w:tcW w:w="2802" w:type="dxa"/>
          </w:tcPr>
          <w:p w14:paraId="5243A39D" w14:textId="77777777" w:rsidR="00264340" w:rsidRPr="00264340" w:rsidRDefault="00264340" w:rsidP="00264340">
            <w:pPr>
              <w:numPr>
                <w:ilvl w:val="1"/>
                <w:numId w:val="9"/>
              </w:numPr>
              <w:spacing w:after="0" w:line="240" w:lineRule="auto"/>
              <w:ind w:left="0" w:firstLine="0"/>
              <w:rPr>
                <w:rFonts w:ascii="Times New Roman" w:eastAsia="Calibri" w:hAnsi="Times New Roman" w:cs="Times New Roman"/>
                <w:b/>
                <w:sz w:val="21"/>
                <w:szCs w:val="21"/>
              </w:rPr>
            </w:pPr>
            <w:r w:rsidRPr="00264340">
              <w:rPr>
                <w:rFonts w:ascii="Times New Roman" w:eastAsia="Calibri" w:hAnsi="Times New Roman" w:cs="Times New Roman"/>
                <w:b/>
                <w:sz w:val="21"/>
                <w:szCs w:val="21"/>
              </w:rPr>
              <w:t>Застройщик</w:t>
            </w:r>
          </w:p>
        </w:tc>
        <w:tc>
          <w:tcPr>
            <w:tcW w:w="7622" w:type="dxa"/>
            <w:vAlign w:val="center"/>
          </w:tcPr>
          <w:p w14:paraId="07E89122" w14:textId="77777777" w:rsidR="00264340" w:rsidRPr="00264340" w:rsidRDefault="00264340" w:rsidP="00264340">
            <w:pPr>
              <w:tabs>
                <w:tab w:val="left" w:pos="0"/>
              </w:tabs>
              <w:suppressAutoHyphens/>
              <w:spacing w:after="0" w:line="240" w:lineRule="auto"/>
              <w:rPr>
                <w:rFonts w:ascii="Times New Roman" w:eastAsia="Times New Roman" w:hAnsi="Times New Roman" w:cs="Times New Roman"/>
                <w:color w:val="000000"/>
                <w:sz w:val="21"/>
                <w:szCs w:val="21"/>
                <w:lang w:eastAsia="ru-RU"/>
              </w:rPr>
            </w:pPr>
            <w:r w:rsidRPr="00264340">
              <w:rPr>
                <w:rFonts w:ascii="Times New Roman" w:eastAsia="Times New Roman" w:hAnsi="Times New Roman" w:cs="Times New Roman"/>
                <w:color w:val="000000"/>
                <w:sz w:val="21"/>
                <w:szCs w:val="21"/>
                <w:lang w:eastAsia="ru-RU"/>
              </w:rPr>
              <w:t>ГУП «ФЖС РБ»</w:t>
            </w:r>
          </w:p>
        </w:tc>
      </w:tr>
      <w:tr w:rsidR="00264340" w:rsidRPr="00264340" w14:paraId="41C7C300" w14:textId="77777777" w:rsidTr="00264340">
        <w:tc>
          <w:tcPr>
            <w:tcW w:w="2802" w:type="dxa"/>
          </w:tcPr>
          <w:p w14:paraId="2EF2F197" w14:textId="77777777" w:rsidR="00264340" w:rsidRPr="00264340" w:rsidRDefault="00264340" w:rsidP="00264340">
            <w:pPr>
              <w:numPr>
                <w:ilvl w:val="1"/>
                <w:numId w:val="9"/>
              </w:numPr>
              <w:spacing w:after="0" w:line="240" w:lineRule="auto"/>
              <w:ind w:left="0" w:firstLine="0"/>
              <w:rPr>
                <w:rFonts w:ascii="Times New Roman" w:eastAsia="Calibri" w:hAnsi="Times New Roman" w:cs="Times New Roman"/>
                <w:b/>
                <w:sz w:val="21"/>
                <w:szCs w:val="21"/>
              </w:rPr>
            </w:pPr>
            <w:r w:rsidRPr="00264340">
              <w:rPr>
                <w:rFonts w:ascii="Times New Roman" w:eastAsia="Times New Roman" w:hAnsi="Times New Roman" w:cs="Times New Roman"/>
                <w:b/>
                <w:color w:val="000000"/>
                <w:sz w:val="21"/>
                <w:szCs w:val="21"/>
                <w:lang w:eastAsia="ar-SA"/>
              </w:rPr>
              <w:t>Местоположение объекта строительства</w:t>
            </w:r>
          </w:p>
        </w:tc>
        <w:tc>
          <w:tcPr>
            <w:tcW w:w="7622" w:type="dxa"/>
          </w:tcPr>
          <w:p w14:paraId="392B00BA" w14:textId="77777777" w:rsidR="00264340" w:rsidRPr="00264340" w:rsidRDefault="00264340" w:rsidP="00264340">
            <w:pPr>
              <w:tabs>
                <w:tab w:val="left" w:pos="0"/>
              </w:tabs>
              <w:suppressAutoHyphens/>
              <w:spacing w:after="0" w:line="240" w:lineRule="auto"/>
              <w:rPr>
                <w:rFonts w:ascii="Times New Roman" w:eastAsia="Calibri" w:hAnsi="Times New Roman" w:cs="Times New Roman"/>
                <w:sz w:val="21"/>
                <w:szCs w:val="21"/>
              </w:rPr>
            </w:pPr>
            <w:r w:rsidRPr="00264340">
              <w:rPr>
                <w:rFonts w:ascii="Times New Roman" w:eastAsia="Times New Roman" w:hAnsi="Times New Roman" w:cs="Times New Roman"/>
                <w:color w:val="000000"/>
                <w:sz w:val="21"/>
                <w:szCs w:val="21"/>
                <w:lang w:eastAsia="ar-SA"/>
              </w:rPr>
              <w:t>Российская Федерация, Республика Башкортостан, Дуванский район, с. Месягутово, ул. Светлая, дом 3/1</w:t>
            </w:r>
          </w:p>
        </w:tc>
      </w:tr>
      <w:tr w:rsidR="00264340" w:rsidRPr="00264340" w14:paraId="0BA0FC9C" w14:textId="77777777" w:rsidTr="00264340">
        <w:trPr>
          <w:trHeight w:val="435"/>
        </w:trPr>
        <w:tc>
          <w:tcPr>
            <w:tcW w:w="2802" w:type="dxa"/>
            <w:vAlign w:val="center"/>
          </w:tcPr>
          <w:p w14:paraId="2790B244" w14:textId="77777777" w:rsidR="00264340" w:rsidRPr="00264340" w:rsidRDefault="00264340" w:rsidP="00264340">
            <w:pPr>
              <w:numPr>
                <w:ilvl w:val="1"/>
                <w:numId w:val="9"/>
              </w:numPr>
              <w:spacing w:after="0" w:line="240" w:lineRule="auto"/>
              <w:ind w:left="0" w:firstLine="0"/>
              <w:rPr>
                <w:rFonts w:ascii="Times New Roman" w:eastAsia="Calibri" w:hAnsi="Times New Roman" w:cs="Times New Roman"/>
                <w:b/>
                <w:sz w:val="21"/>
                <w:szCs w:val="21"/>
              </w:rPr>
            </w:pPr>
            <w:r w:rsidRPr="00264340">
              <w:rPr>
                <w:rFonts w:ascii="Times New Roman" w:eastAsia="Times New Roman" w:hAnsi="Times New Roman" w:cs="Times New Roman"/>
                <w:b/>
                <w:color w:val="000000"/>
                <w:sz w:val="21"/>
                <w:szCs w:val="21"/>
                <w:lang w:eastAsia="ar-SA"/>
              </w:rPr>
              <w:t>Вид строительства</w:t>
            </w:r>
          </w:p>
        </w:tc>
        <w:tc>
          <w:tcPr>
            <w:tcW w:w="7622" w:type="dxa"/>
            <w:vAlign w:val="center"/>
          </w:tcPr>
          <w:p w14:paraId="75139751" w14:textId="77777777" w:rsidR="00264340" w:rsidRPr="00264340" w:rsidRDefault="00264340" w:rsidP="00264340">
            <w:pPr>
              <w:tabs>
                <w:tab w:val="left" w:pos="0"/>
              </w:tabs>
              <w:suppressAutoHyphens/>
              <w:spacing w:after="0" w:line="240" w:lineRule="auto"/>
              <w:rPr>
                <w:rFonts w:ascii="Times New Roman" w:eastAsia="Calibri" w:hAnsi="Times New Roman" w:cs="Times New Roman"/>
                <w:sz w:val="21"/>
                <w:szCs w:val="21"/>
              </w:rPr>
            </w:pPr>
            <w:r w:rsidRPr="00264340">
              <w:rPr>
                <w:rFonts w:ascii="Times New Roman" w:eastAsia="Times New Roman" w:hAnsi="Times New Roman" w:cs="Times New Roman"/>
                <w:color w:val="000000"/>
                <w:sz w:val="21"/>
                <w:szCs w:val="21"/>
                <w:lang w:eastAsia="ar-SA"/>
              </w:rPr>
              <w:t>Новое строительств.</w:t>
            </w:r>
          </w:p>
        </w:tc>
      </w:tr>
      <w:tr w:rsidR="00264340" w:rsidRPr="00264340" w14:paraId="1E2D0214" w14:textId="77777777" w:rsidTr="00264340">
        <w:tc>
          <w:tcPr>
            <w:tcW w:w="2802" w:type="dxa"/>
          </w:tcPr>
          <w:p w14:paraId="3A079BA7" w14:textId="77777777" w:rsidR="00264340" w:rsidRPr="00264340" w:rsidRDefault="00264340" w:rsidP="00264340">
            <w:pPr>
              <w:numPr>
                <w:ilvl w:val="1"/>
                <w:numId w:val="9"/>
              </w:numPr>
              <w:spacing w:after="0" w:line="240" w:lineRule="auto"/>
              <w:ind w:left="0" w:firstLine="0"/>
              <w:rPr>
                <w:rFonts w:ascii="Times New Roman" w:eastAsia="Calibri" w:hAnsi="Times New Roman" w:cs="Times New Roman"/>
                <w:b/>
                <w:sz w:val="21"/>
                <w:szCs w:val="21"/>
              </w:rPr>
            </w:pPr>
            <w:r w:rsidRPr="00264340">
              <w:rPr>
                <w:rFonts w:ascii="Times New Roman" w:eastAsia="Calibri" w:hAnsi="Times New Roman" w:cs="Times New Roman"/>
                <w:b/>
                <w:sz w:val="21"/>
                <w:szCs w:val="21"/>
              </w:rPr>
              <w:t>Основные технические характеристики объекта</w:t>
            </w:r>
          </w:p>
        </w:tc>
        <w:tc>
          <w:tcPr>
            <w:tcW w:w="7622" w:type="dxa"/>
          </w:tcPr>
          <w:p w14:paraId="50EB2B3C"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 xml:space="preserve">3-х этажный 2-х секционный жилой дом </w:t>
            </w:r>
          </w:p>
          <w:p w14:paraId="68E68745"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Технико-экономические показатели:</w:t>
            </w:r>
          </w:p>
          <w:p w14:paraId="6EE0402C" w14:textId="06F850FE"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Площадь жилого здания – 1 051,71 м2.</w:t>
            </w:r>
          </w:p>
          <w:p w14:paraId="2C0ADD95"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Общая площадь квартир –    950,24 м2.</w:t>
            </w:r>
          </w:p>
          <w:p w14:paraId="37E371E0"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Жилая площадь квартир –    490,38 м2.</w:t>
            </w:r>
          </w:p>
          <w:p w14:paraId="2B946290"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 xml:space="preserve">Число квартир: 24 шт., в т.ч. </w:t>
            </w:r>
          </w:p>
          <w:p w14:paraId="7695ED06"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однокомнатных – 15 шт.,</w:t>
            </w:r>
          </w:p>
          <w:p w14:paraId="70B300A7"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двухкомнатных –   9 шт.</w:t>
            </w:r>
          </w:p>
        </w:tc>
      </w:tr>
      <w:tr w:rsidR="00264340" w:rsidRPr="00264340" w14:paraId="602EC97D" w14:textId="77777777" w:rsidTr="00264340">
        <w:tc>
          <w:tcPr>
            <w:tcW w:w="2802" w:type="dxa"/>
          </w:tcPr>
          <w:p w14:paraId="3FB57309" w14:textId="77777777" w:rsidR="00264340" w:rsidRPr="00264340" w:rsidRDefault="00264340" w:rsidP="00264340">
            <w:pPr>
              <w:numPr>
                <w:ilvl w:val="1"/>
                <w:numId w:val="9"/>
              </w:numPr>
              <w:spacing w:after="0" w:line="240" w:lineRule="auto"/>
              <w:ind w:left="0" w:firstLine="0"/>
              <w:rPr>
                <w:rFonts w:ascii="Times New Roman" w:eastAsia="Calibri" w:hAnsi="Times New Roman" w:cs="Times New Roman"/>
                <w:b/>
                <w:sz w:val="21"/>
                <w:szCs w:val="21"/>
              </w:rPr>
            </w:pPr>
            <w:r w:rsidRPr="00264340">
              <w:rPr>
                <w:rFonts w:ascii="Times New Roman" w:eastAsia="Times New Roman" w:hAnsi="Times New Roman" w:cs="Times New Roman"/>
                <w:b/>
                <w:color w:val="000000"/>
                <w:sz w:val="21"/>
                <w:szCs w:val="21"/>
                <w:lang w:eastAsia="ar-SA"/>
              </w:rPr>
              <w:t>Архитектурные решения</w:t>
            </w:r>
          </w:p>
        </w:tc>
        <w:tc>
          <w:tcPr>
            <w:tcW w:w="7622" w:type="dxa"/>
          </w:tcPr>
          <w:p w14:paraId="2F0AFBD5"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Жилой дом – 3-х этажное, прямоугольное 2-х – секционное здание с размерами в осях 31,93х13,51 м., с техподпольем и скатной кровлей с наружным организованным водостоком.</w:t>
            </w:r>
          </w:p>
          <w:p w14:paraId="536BF2DE"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Высота надземных этажей – 2,8 м.</w:t>
            </w:r>
          </w:p>
          <w:p w14:paraId="6F511C57"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Высота здания – 11,9 м.</w:t>
            </w:r>
          </w:p>
          <w:p w14:paraId="15B932D0"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Обе секции дома – рядовые, прямоугольной в плане формы, с двухсторонней ориентацией квартир. Все 3 этажа дома – жилые. В жилом доме запроектированы 1- и 2-комнатные квартиры для посемейного заселения. Комнаты в квартирах – непроходные, санузлы в 2-комнатных квартирах раздельные, в 1-комнатных – совмещенные. Все квартиры имеют лоджии.</w:t>
            </w:r>
          </w:p>
          <w:p w14:paraId="7CDF1D1E"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Внутренняя отделка жилой части – черновая.</w:t>
            </w:r>
          </w:p>
          <w:p w14:paraId="166CF3A6"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xml:space="preserve">   Полы: </w:t>
            </w:r>
          </w:p>
          <w:p w14:paraId="6CCBE292"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технические помещения подвала  - частичная ц/</w:t>
            </w:r>
            <w:proofErr w:type="gramStart"/>
            <w:r w:rsidRPr="00264340">
              <w:rPr>
                <w:rFonts w:ascii="Times New Roman" w:eastAsia="Calibri" w:hAnsi="Times New Roman" w:cs="Times New Roman"/>
                <w:sz w:val="21"/>
                <w:szCs w:val="21"/>
              </w:rPr>
              <w:t>п</w:t>
            </w:r>
            <w:proofErr w:type="gramEnd"/>
            <w:r w:rsidRPr="00264340">
              <w:rPr>
                <w:rFonts w:ascii="Times New Roman" w:eastAsia="Calibri" w:hAnsi="Times New Roman" w:cs="Times New Roman"/>
                <w:sz w:val="21"/>
                <w:szCs w:val="21"/>
              </w:rPr>
              <w:t xml:space="preserve"> стяжка (дорожки);</w:t>
            </w:r>
          </w:p>
          <w:p w14:paraId="64BFEEE0" w14:textId="77777777" w:rsidR="00264340" w:rsidRPr="00264340" w:rsidRDefault="00264340" w:rsidP="00264340">
            <w:pPr>
              <w:numPr>
                <w:ilvl w:val="0"/>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МОП жилой части – керамогранит с противоскользящей поверхностью (сапожок из керамогранита)</w:t>
            </w:r>
          </w:p>
          <w:p w14:paraId="323C00AF" w14:textId="77777777" w:rsidR="00264340" w:rsidRPr="00264340" w:rsidRDefault="00264340" w:rsidP="00264340">
            <w:pPr>
              <w:numPr>
                <w:ilvl w:val="0"/>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лестничная клетка – ц/п стяжка, керамогранит, сапожок из керамогранита</w:t>
            </w:r>
          </w:p>
          <w:p w14:paraId="42F31656"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xml:space="preserve">   Потолки: </w:t>
            </w:r>
          </w:p>
          <w:p w14:paraId="02ACB624"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технические помещения подвала, МОП, электрощитовая - краска водоэмульсионная;</w:t>
            </w:r>
          </w:p>
          <w:p w14:paraId="36D42ED6"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лестничная клетка - краска водоэмульсионная;</w:t>
            </w:r>
          </w:p>
          <w:p w14:paraId="0515A496"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лоджии - краска водоэмульсионная.</w:t>
            </w:r>
          </w:p>
          <w:p w14:paraId="2A57B4A2"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xml:space="preserve">   Стены: </w:t>
            </w:r>
          </w:p>
          <w:p w14:paraId="01B96FCA"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технические помещения подвала, электрощитовая  - краска водоэмульсионная;</w:t>
            </w:r>
          </w:p>
          <w:p w14:paraId="4202500E"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МОП – штукатурка, окраска;</w:t>
            </w:r>
          </w:p>
          <w:p w14:paraId="6DC6015A" w14:textId="77777777" w:rsidR="00264340" w:rsidRPr="00264340" w:rsidRDefault="00264340" w:rsidP="00264340">
            <w:pPr>
              <w:numPr>
                <w:ilvl w:val="3"/>
                <w:numId w:val="23"/>
              </w:numPr>
              <w:spacing w:after="0" w:line="240" w:lineRule="auto"/>
              <w:ind w:left="884" w:hanging="425"/>
              <w:contextualSpacing/>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 лоджии – штукатурка, окраска.</w:t>
            </w:r>
          </w:p>
        </w:tc>
      </w:tr>
      <w:tr w:rsidR="00264340" w:rsidRPr="00264340" w14:paraId="207231AD" w14:textId="77777777" w:rsidTr="00264340">
        <w:tc>
          <w:tcPr>
            <w:tcW w:w="2802" w:type="dxa"/>
          </w:tcPr>
          <w:p w14:paraId="7DF49A8C" w14:textId="77777777" w:rsidR="00264340" w:rsidRPr="00264340" w:rsidRDefault="00264340" w:rsidP="00264340">
            <w:pPr>
              <w:tabs>
                <w:tab w:val="left" w:pos="567"/>
              </w:tabs>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1.7.  Конструктивные и объёмно-планировочные решения</w:t>
            </w:r>
          </w:p>
        </w:tc>
        <w:tc>
          <w:tcPr>
            <w:tcW w:w="7622" w:type="dxa"/>
            <w:vAlign w:val="center"/>
          </w:tcPr>
          <w:p w14:paraId="2BD9DA68"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Уровень ответственности - нормальный.</w:t>
            </w:r>
          </w:p>
          <w:p w14:paraId="5F9C90D6"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Конструктивная схема здания – несущие кирпичные стены со сборными железобетонными перекрытиями и ядрами жесткости (стены лестничных клеток).</w:t>
            </w:r>
          </w:p>
          <w:p w14:paraId="146D3F68"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 xml:space="preserve">Фундамент – ленточный по песчаной подготовке. Стены подземной части цокольного этажа из сборных железобетонных блоков по ГОСТ 13579-2018. </w:t>
            </w:r>
          </w:p>
          <w:p w14:paraId="3E262E35"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 xml:space="preserve">Наружные стены выше </w:t>
            </w:r>
            <w:proofErr w:type="spellStart"/>
            <w:r w:rsidRPr="00264340">
              <w:rPr>
                <w:rFonts w:ascii="Times New Roman" w:eastAsia="Times New Roman" w:hAnsi="Times New Roman" w:cs="Times New Roman"/>
                <w:sz w:val="21"/>
                <w:szCs w:val="21"/>
                <w:lang w:eastAsia="ar-SA"/>
              </w:rPr>
              <w:t>отм</w:t>
            </w:r>
            <w:proofErr w:type="spellEnd"/>
            <w:r w:rsidRPr="00264340">
              <w:rPr>
                <w:rFonts w:ascii="Times New Roman" w:eastAsia="Times New Roman" w:hAnsi="Times New Roman" w:cs="Times New Roman"/>
                <w:sz w:val="21"/>
                <w:szCs w:val="21"/>
                <w:lang w:eastAsia="ar-SA"/>
              </w:rPr>
              <w:t xml:space="preserve">. 0,000 толщиной 380мм из кирпича М-125 по ГОСТ 379-2015 на растворе М-75. </w:t>
            </w:r>
          </w:p>
          <w:p w14:paraId="59C76E49"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 xml:space="preserve">Утеплитель пенополистирол ППС20 толщиной 120мм из </w:t>
            </w:r>
            <w:proofErr w:type="spellStart"/>
            <w:r w:rsidRPr="00264340">
              <w:rPr>
                <w:rFonts w:ascii="Times New Roman" w:eastAsia="Times New Roman" w:hAnsi="Times New Roman" w:cs="Times New Roman"/>
                <w:sz w:val="21"/>
                <w:szCs w:val="21"/>
                <w:lang w:eastAsia="ar-SA"/>
              </w:rPr>
              <w:t>минваты</w:t>
            </w:r>
            <w:proofErr w:type="spellEnd"/>
            <w:r w:rsidRPr="00264340">
              <w:rPr>
                <w:rFonts w:ascii="Times New Roman" w:eastAsia="Times New Roman" w:hAnsi="Times New Roman" w:cs="Times New Roman"/>
                <w:sz w:val="21"/>
                <w:szCs w:val="21"/>
                <w:lang w:eastAsia="ar-SA"/>
              </w:rPr>
              <w:t xml:space="preserve"> «</w:t>
            </w:r>
            <w:proofErr w:type="spellStart"/>
            <w:r w:rsidRPr="00264340">
              <w:rPr>
                <w:rFonts w:ascii="Times New Roman" w:eastAsia="Times New Roman" w:hAnsi="Times New Roman" w:cs="Times New Roman"/>
                <w:sz w:val="21"/>
                <w:szCs w:val="21"/>
                <w:lang w:eastAsia="ar-SA"/>
              </w:rPr>
              <w:t>ТехноФас</w:t>
            </w:r>
            <w:proofErr w:type="spellEnd"/>
            <w:r w:rsidRPr="00264340">
              <w:rPr>
                <w:rFonts w:ascii="Times New Roman" w:eastAsia="Times New Roman" w:hAnsi="Times New Roman" w:cs="Times New Roman"/>
                <w:sz w:val="21"/>
                <w:szCs w:val="21"/>
                <w:lang w:eastAsia="ar-SA"/>
              </w:rPr>
              <w:t>», вокруг оконных и дверных проемов шириной 150мм и в уровне плит перекрытия на высоту 220мм. Наружный слой – декоративная штукатурка.</w:t>
            </w:r>
          </w:p>
          <w:p w14:paraId="52DEC7DA"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Лестницы  - сборные марши и площадки.</w:t>
            </w:r>
          </w:p>
          <w:p w14:paraId="47A5CE29" w14:textId="77777777" w:rsidR="00264340" w:rsidRPr="00264340" w:rsidRDefault="00264340" w:rsidP="00264340">
            <w:pPr>
              <w:suppressAutoHyphens/>
              <w:spacing w:after="0" w:line="240" w:lineRule="auto"/>
              <w:jc w:val="both"/>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Перегородки в санузлах из кирпича керамического полнотелого одинарного М-</w:t>
            </w:r>
            <w:r w:rsidRPr="00264340">
              <w:rPr>
                <w:rFonts w:ascii="Times New Roman" w:eastAsia="Times New Roman" w:hAnsi="Times New Roman" w:cs="Times New Roman"/>
                <w:sz w:val="21"/>
                <w:szCs w:val="21"/>
                <w:lang w:eastAsia="ar-SA"/>
              </w:rPr>
              <w:lastRenderedPageBreak/>
              <w:t>100 по ГОСТ 530-2012 на растворе М-75, в остальных помещениях – кирпича полнотелого одинарного М-100.</w:t>
            </w:r>
          </w:p>
          <w:p w14:paraId="3EE2DE2D" w14:textId="77777777" w:rsidR="00264340" w:rsidRPr="00264340" w:rsidRDefault="00264340" w:rsidP="00264340">
            <w:pPr>
              <w:spacing w:after="0" w:line="240" w:lineRule="auto"/>
              <w:rPr>
                <w:rFonts w:ascii="Times New Roman" w:eastAsia="Times New Roman" w:hAnsi="Times New Roman" w:cs="Times New Roman"/>
                <w:sz w:val="21"/>
                <w:szCs w:val="21"/>
                <w:lang w:eastAsia="ar-SA"/>
              </w:rPr>
            </w:pPr>
            <w:r w:rsidRPr="00264340">
              <w:rPr>
                <w:rFonts w:ascii="Times New Roman" w:eastAsia="Times New Roman" w:hAnsi="Times New Roman" w:cs="Times New Roman"/>
                <w:sz w:val="21"/>
                <w:szCs w:val="21"/>
                <w:lang w:eastAsia="ar-SA"/>
              </w:rPr>
              <w:t>Кровля скатная, несущие элементы кровли – деревянные. Кровельное покрытие из профлиста с защитным декоративным покрытием.</w:t>
            </w:r>
          </w:p>
        </w:tc>
      </w:tr>
      <w:tr w:rsidR="00264340" w:rsidRPr="00264340" w14:paraId="06B52212" w14:textId="77777777" w:rsidTr="00264340">
        <w:trPr>
          <w:trHeight w:val="775"/>
        </w:trPr>
        <w:tc>
          <w:tcPr>
            <w:tcW w:w="2802" w:type="dxa"/>
          </w:tcPr>
          <w:p w14:paraId="57E87EB5"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lastRenderedPageBreak/>
              <w:t>1.8. Перечень работ</w:t>
            </w:r>
          </w:p>
        </w:tc>
        <w:tc>
          <w:tcPr>
            <w:tcW w:w="7622" w:type="dxa"/>
          </w:tcPr>
          <w:p w14:paraId="0D51BCD3" w14:textId="77777777" w:rsidR="00264340" w:rsidRPr="00264340" w:rsidRDefault="00264340" w:rsidP="00264340">
            <w:pPr>
              <w:spacing w:after="0" w:line="240" w:lineRule="auto"/>
              <w:jc w:val="both"/>
              <w:rPr>
                <w:rFonts w:ascii="Times New Roman" w:eastAsia="Times New Roman" w:hAnsi="Times New Roman" w:cs="Times New Roman"/>
                <w:color w:val="000000"/>
                <w:lang w:eastAsia="ar-SA"/>
              </w:rPr>
            </w:pPr>
            <w:r w:rsidRPr="00264340">
              <w:rPr>
                <w:rFonts w:ascii="Times New Roman" w:eastAsia="Times New Roman" w:hAnsi="Times New Roman" w:cs="Times New Roman"/>
                <w:color w:val="000000"/>
                <w:lang w:eastAsia="ar-SA"/>
              </w:rPr>
              <w:t>В соответствии с утвержденной Заказчиком проектной документации и сметами определяющими объём и цену работ, а также условиями Договора.</w:t>
            </w:r>
          </w:p>
          <w:p w14:paraId="13C5A0AE" w14:textId="77777777" w:rsidR="00264340" w:rsidRPr="00264340" w:rsidRDefault="00264340" w:rsidP="00264340">
            <w:pPr>
              <w:spacing w:after="0" w:line="240" w:lineRule="auto"/>
              <w:jc w:val="both"/>
              <w:rPr>
                <w:rFonts w:ascii="Times New Roman" w:eastAsia="Times New Roman" w:hAnsi="Times New Roman" w:cs="Times New Roman"/>
                <w:color w:val="000000"/>
                <w:lang w:eastAsia="ar-SA"/>
              </w:rPr>
            </w:pPr>
            <w:r w:rsidRPr="00264340">
              <w:rPr>
                <w:rFonts w:ascii="Times New Roman" w:eastAsia="Times New Roman" w:hAnsi="Times New Roman" w:cs="Times New Roman"/>
                <w:color w:val="000000"/>
                <w:lang w:eastAsia="ar-SA"/>
              </w:rPr>
              <w:t>Строительно-монтажные работы, поставка оборудования,</w:t>
            </w:r>
          </w:p>
          <w:p w14:paraId="1FB1E544"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Times New Roman" w:hAnsi="Times New Roman" w:cs="Times New Roman"/>
                <w:color w:val="000000"/>
                <w:lang w:eastAsia="ar-SA"/>
              </w:rPr>
              <w:t>пусконаладочные работы и испытания оборудования и инженерных систем в объеме, необходимом для  ввода объекта в эксплуатацию.</w:t>
            </w:r>
          </w:p>
        </w:tc>
      </w:tr>
      <w:tr w:rsidR="00264340" w:rsidRPr="00264340" w14:paraId="7683AE96" w14:textId="77777777" w:rsidTr="00264340">
        <w:tc>
          <w:tcPr>
            <w:tcW w:w="2802" w:type="dxa"/>
          </w:tcPr>
          <w:p w14:paraId="6DE8C123"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 xml:space="preserve">1.9.  Срок выполнения работ </w:t>
            </w:r>
          </w:p>
        </w:tc>
        <w:tc>
          <w:tcPr>
            <w:tcW w:w="7622" w:type="dxa"/>
            <w:vAlign w:val="center"/>
          </w:tcPr>
          <w:p w14:paraId="15464930"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Начало работ: с даты заключения Договора.</w:t>
            </w:r>
          </w:p>
          <w:p w14:paraId="44727873"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Сроки окончания работ: не позднее 30 сентября 2026г.</w:t>
            </w:r>
          </w:p>
        </w:tc>
      </w:tr>
      <w:tr w:rsidR="00264340" w:rsidRPr="00264340" w14:paraId="32800232" w14:textId="77777777" w:rsidTr="00264340">
        <w:tc>
          <w:tcPr>
            <w:tcW w:w="2802" w:type="dxa"/>
          </w:tcPr>
          <w:p w14:paraId="34CDB664"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1.10.</w:t>
            </w:r>
            <w:r w:rsidRPr="00264340">
              <w:rPr>
                <w:rFonts w:ascii="Times New Roman" w:eastAsia="Calibri" w:hAnsi="Times New Roman" w:cs="Times New Roman"/>
                <w:b/>
                <w:sz w:val="21"/>
                <w:szCs w:val="21"/>
              </w:rPr>
              <w:tab/>
              <w:t>Срок действия договора</w:t>
            </w:r>
          </w:p>
        </w:tc>
        <w:tc>
          <w:tcPr>
            <w:tcW w:w="7622" w:type="dxa"/>
            <w:vAlign w:val="center"/>
          </w:tcPr>
          <w:p w14:paraId="52DAE495"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До «30» марта  2027 г.</w:t>
            </w:r>
          </w:p>
        </w:tc>
      </w:tr>
      <w:tr w:rsidR="00264340" w:rsidRPr="00264340" w14:paraId="4712B051" w14:textId="77777777" w:rsidTr="00264340">
        <w:tc>
          <w:tcPr>
            <w:tcW w:w="2802" w:type="dxa"/>
          </w:tcPr>
          <w:p w14:paraId="73E0F860"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1.11.  Срок гарантии качества</w:t>
            </w:r>
          </w:p>
        </w:tc>
        <w:tc>
          <w:tcPr>
            <w:tcW w:w="7622" w:type="dxa"/>
            <w:vAlign w:val="center"/>
          </w:tcPr>
          <w:p w14:paraId="18A56E44"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Гарантийный срок качества на весь объем выполняемых работ составляет 60 месяцев.</w:t>
            </w:r>
          </w:p>
          <w:p w14:paraId="1D83F60E"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Гарантийный срок на смонтированное оборудование соответствует гарантийному сроку, установленному его производителем.</w:t>
            </w:r>
          </w:p>
          <w:p w14:paraId="6A833845" w14:textId="77777777" w:rsidR="00264340" w:rsidRPr="00264340" w:rsidRDefault="00264340" w:rsidP="00264340">
            <w:pPr>
              <w:spacing w:after="0" w:line="240" w:lineRule="auto"/>
              <w:rPr>
                <w:rFonts w:ascii="Times New Roman" w:eastAsia="Calibri" w:hAnsi="Times New Roman" w:cs="Times New Roman"/>
                <w:sz w:val="21"/>
                <w:szCs w:val="21"/>
              </w:rPr>
            </w:pPr>
            <w:r w:rsidRPr="00264340">
              <w:rPr>
                <w:rFonts w:ascii="Times New Roman" w:eastAsia="Calibri" w:hAnsi="Times New Roman" w:cs="Times New Roman"/>
                <w:sz w:val="21"/>
                <w:szCs w:val="21"/>
              </w:rPr>
              <w:t>Гарантийный срок на тепловые сети – 10 (десять) лет.</w:t>
            </w:r>
          </w:p>
        </w:tc>
      </w:tr>
      <w:tr w:rsidR="00264340" w:rsidRPr="00264340" w14:paraId="14EDF534" w14:textId="77777777" w:rsidTr="00264340">
        <w:tc>
          <w:tcPr>
            <w:tcW w:w="2802" w:type="dxa"/>
          </w:tcPr>
          <w:p w14:paraId="3302F9EE" w14:textId="77777777" w:rsidR="00264340" w:rsidRPr="00264340" w:rsidRDefault="00264340" w:rsidP="00264340">
            <w:pPr>
              <w:spacing w:after="0" w:line="240" w:lineRule="auto"/>
              <w:ind w:left="284" w:hanging="284"/>
              <w:rPr>
                <w:rFonts w:ascii="Times New Roman" w:eastAsia="Calibri" w:hAnsi="Times New Roman" w:cs="Times New Roman"/>
                <w:b/>
                <w:sz w:val="21"/>
                <w:szCs w:val="21"/>
              </w:rPr>
            </w:pPr>
            <w:r w:rsidRPr="00264340">
              <w:rPr>
                <w:rFonts w:ascii="Times New Roman" w:eastAsia="Calibri" w:hAnsi="Times New Roman" w:cs="Times New Roman"/>
                <w:b/>
                <w:sz w:val="21"/>
                <w:szCs w:val="21"/>
              </w:rPr>
              <w:t>1.12.  Требования к выполнению работ</w:t>
            </w:r>
          </w:p>
        </w:tc>
        <w:tc>
          <w:tcPr>
            <w:tcW w:w="7622" w:type="dxa"/>
            <w:vAlign w:val="center"/>
          </w:tcPr>
          <w:p w14:paraId="143AE586"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Подрядчику разработать график выполнения работ согласно предложению о сроках выполнения работ.</w:t>
            </w:r>
          </w:p>
          <w:p w14:paraId="3283F2CA"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Выполнить работы качественно и в срок в соответствии с условиями контракта и проектной документации.</w:t>
            </w:r>
          </w:p>
          <w:p w14:paraId="0B05F033"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При производстве строительно-монтажных работ руководствоваться решениями, предусмотренными проектной документацией, имеющей положительное заключение Государственной экспертизы.</w:t>
            </w:r>
          </w:p>
          <w:p w14:paraId="7DDC8C92"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Все необходимые согласования, связанные с получением разрешений на производство работ, победитель электронного аукциона осуществляет своими силами.</w:t>
            </w:r>
          </w:p>
          <w:p w14:paraId="1109B826"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Оформление актов освидетельствования скрытых работ, приемки ответственных конструкций, актов индивидуальных и комплексных испытаний оборудования, ведение общего и специальных журналов работ и др. исполнительной документации является непременным условием для выполнения последующих работ.</w:t>
            </w:r>
          </w:p>
          <w:p w14:paraId="3CEA4E11"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Выполняемые работы и материалы должны соответствовать требованиям действующих, в настоящее время технических регламентов и определены проектом.</w:t>
            </w:r>
          </w:p>
          <w:p w14:paraId="03C1A7DD"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 должен применить современные методы технологии производства работ.</w:t>
            </w:r>
          </w:p>
          <w:p w14:paraId="375179EA"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Обеспечить уборку и очистку помещений, строительной площадки и прилегающей непосредственно к ней территории от строительного мусора, образовавшегося при строительно-монтажных работах, в течение 3-х дней после окончания работ.</w:t>
            </w:r>
          </w:p>
          <w:p w14:paraId="4BBEDB6D"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 обязан:</w:t>
            </w:r>
          </w:p>
          <w:p w14:paraId="73F4C122"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обеспечить постоянное присутствие на объекте лица, осуществляющего контроль за выполнением работ, ответственного за персонал и технику безопасности проведения работ;</w:t>
            </w:r>
          </w:p>
          <w:p w14:paraId="0FA21BB5" w14:textId="77777777" w:rsidR="00264340" w:rsidRPr="00264340" w:rsidRDefault="00264340" w:rsidP="00264340">
            <w:pPr>
              <w:spacing w:after="0" w:line="240" w:lineRule="auto"/>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обеспечить надлежащую охрану материалов, оборудования, строительной техники и другого имущества до их вывоза с территории «Заказчика»</w:t>
            </w:r>
          </w:p>
          <w:p w14:paraId="590DA706" w14:textId="77777777" w:rsidR="00264340" w:rsidRPr="00264340" w:rsidRDefault="00264340" w:rsidP="00264340">
            <w:pPr>
              <w:spacing w:after="0" w:line="240" w:lineRule="auto"/>
              <w:ind w:right="142"/>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еженедельно предоставлять в производственный отдел ГУП «ФЖС РБ» сводку о выполненных строительно-монтажных работах.</w:t>
            </w:r>
          </w:p>
          <w:p w14:paraId="7BCD7AD3" w14:textId="77777777" w:rsidR="00264340" w:rsidRPr="00264340" w:rsidRDefault="00264340" w:rsidP="00264340">
            <w:pPr>
              <w:spacing w:after="0" w:line="240" w:lineRule="auto"/>
              <w:ind w:right="142"/>
              <w:jc w:val="both"/>
              <w:rPr>
                <w:rFonts w:ascii="Times New Roman" w:eastAsia="Calibri" w:hAnsi="Times New Roman" w:cs="Times New Roman"/>
                <w:sz w:val="21"/>
                <w:szCs w:val="21"/>
              </w:rPr>
            </w:pPr>
            <w:r w:rsidRPr="00264340">
              <w:rPr>
                <w:rFonts w:ascii="Times New Roman" w:eastAsia="Times New Roman" w:hAnsi="Times New Roman" w:cs="Times New Roman"/>
                <w:color w:val="000000"/>
                <w:sz w:val="21"/>
                <w:szCs w:val="21"/>
                <w:lang w:eastAsia="ar-SA"/>
              </w:rPr>
              <w:t>- организовывать на объектах видеонаблюдение путем установки на строительной площадке веб-камер (веб-камеры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согласовывается с производственным отделом ГУП «ФЖС РБ».</w:t>
            </w:r>
          </w:p>
        </w:tc>
      </w:tr>
      <w:tr w:rsidR="00264340" w:rsidRPr="00264340" w14:paraId="7BEA7210" w14:textId="77777777" w:rsidTr="00264340">
        <w:tc>
          <w:tcPr>
            <w:tcW w:w="2802" w:type="dxa"/>
          </w:tcPr>
          <w:p w14:paraId="07E48BCF" w14:textId="77777777" w:rsidR="00264340" w:rsidRPr="00264340" w:rsidRDefault="00264340" w:rsidP="00264340">
            <w:pPr>
              <w:spacing w:after="0" w:line="240" w:lineRule="auto"/>
              <w:ind w:left="284" w:hanging="284"/>
              <w:jc w:val="both"/>
              <w:rPr>
                <w:rFonts w:ascii="Times New Roman" w:eastAsia="Calibri" w:hAnsi="Times New Roman" w:cs="Times New Roman"/>
                <w:b/>
                <w:sz w:val="21"/>
                <w:szCs w:val="21"/>
              </w:rPr>
            </w:pPr>
            <w:r w:rsidRPr="00264340">
              <w:rPr>
                <w:rFonts w:ascii="Times New Roman" w:eastAsia="Calibri" w:hAnsi="Times New Roman" w:cs="Times New Roman"/>
                <w:b/>
                <w:sz w:val="21"/>
                <w:szCs w:val="21"/>
              </w:rPr>
              <w:t xml:space="preserve">1.13. </w:t>
            </w:r>
            <w:r w:rsidRPr="00264340">
              <w:rPr>
                <w:rFonts w:ascii="Times New Roman" w:eastAsia="Times New Roman" w:hAnsi="Times New Roman" w:cs="Times New Roman"/>
                <w:b/>
                <w:color w:val="000000"/>
                <w:sz w:val="21"/>
                <w:szCs w:val="21"/>
                <w:lang w:eastAsia="ar-SA"/>
              </w:rPr>
              <w:t>Требования к качеству</w:t>
            </w:r>
          </w:p>
        </w:tc>
        <w:tc>
          <w:tcPr>
            <w:tcW w:w="7622" w:type="dxa"/>
            <w:vAlign w:val="center"/>
          </w:tcPr>
          <w:p w14:paraId="65D4355A"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Работы должны соответствовать проектной документации и сметам, настоящему техническому заданию, СНиПам, и другим нормативным документам, регламентирующим производство строительно-монтажных работ, условиям Договора, без недостатков и дефектов. В случае их выявления в период выполнения работ, устранение в кратчайшие сроки при согласовании с Заказчиком, в период эксплуатации – в  гарантийный срок эксплуатации.</w:t>
            </w:r>
          </w:p>
          <w:p w14:paraId="190F9D88"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 обязан безвозмездно исправить по требованию Заказчика все выявленные недостатки.</w:t>
            </w:r>
          </w:p>
          <w:p w14:paraId="071B2A19"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xml:space="preserve">При выполнении работ применять современные строительные, отделочные </w:t>
            </w:r>
            <w:r w:rsidRPr="00264340">
              <w:rPr>
                <w:rFonts w:ascii="Times New Roman" w:eastAsia="Times New Roman" w:hAnsi="Times New Roman" w:cs="Times New Roman"/>
                <w:color w:val="000000"/>
                <w:sz w:val="21"/>
                <w:szCs w:val="21"/>
                <w:lang w:eastAsia="ar-SA"/>
              </w:rPr>
              <w:lastRenderedPageBreak/>
              <w:t>материалы и другие установочные изделия. Все применяемые материалы  должны быть новыми, не бывшими в эксплуатации, не восстановленными, соответствовать ГОСТам и другим нормативным документам.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и соответствовать проекту. Подрядчик несет ответственность за соответствие используемых материалов и оборудования государственным стандартам и техническим условиям.</w:t>
            </w:r>
          </w:p>
          <w:p w14:paraId="382AC3B2"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паспортов, сертификатов и т.п. на материалы и оборудование должны быть предоставлены Заказчику за 10 суток до их применения на объекте. Подрядчик несет ответственность за ненадлежащее качество предоставляемых им материалов и оборудования.</w:t>
            </w:r>
          </w:p>
          <w:p w14:paraId="5BA2497F"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 в процессе выполнения работ использует собственные материалы. Транспортно-заготовительные расходы, а именно: транспортировка, погрузка, выгрузка осуществляется Подрядчиком и включена в стоимость работ.</w:t>
            </w:r>
          </w:p>
        </w:tc>
      </w:tr>
      <w:tr w:rsidR="00264340" w:rsidRPr="00264340" w14:paraId="17ED2D11" w14:textId="77777777" w:rsidTr="00264340">
        <w:tc>
          <w:tcPr>
            <w:tcW w:w="2802" w:type="dxa"/>
          </w:tcPr>
          <w:p w14:paraId="6C26C359" w14:textId="77777777" w:rsidR="00264340" w:rsidRPr="00264340" w:rsidRDefault="00264340" w:rsidP="00264340">
            <w:pPr>
              <w:spacing w:after="0" w:line="240" w:lineRule="auto"/>
              <w:ind w:left="284" w:hanging="284"/>
              <w:rPr>
                <w:rFonts w:ascii="Times New Roman" w:eastAsia="Calibri" w:hAnsi="Times New Roman" w:cs="Times New Roman"/>
                <w:b/>
                <w:sz w:val="21"/>
                <w:szCs w:val="21"/>
              </w:rPr>
            </w:pPr>
            <w:r w:rsidRPr="00264340">
              <w:rPr>
                <w:rFonts w:ascii="Times New Roman" w:eastAsia="Calibri" w:hAnsi="Times New Roman" w:cs="Times New Roman"/>
                <w:b/>
                <w:sz w:val="21"/>
                <w:szCs w:val="21"/>
              </w:rPr>
              <w:lastRenderedPageBreak/>
              <w:t xml:space="preserve">1.14. </w:t>
            </w:r>
            <w:r w:rsidRPr="00264340">
              <w:rPr>
                <w:rFonts w:ascii="Times New Roman" w:eastAsia="Times New Roman" w:hAnsi="Times New Roman" w:cs="Times New Roman"/>
                <w:b/>
                <w:color w:val="000000"/>
                <w:sz w:val="21"/>
                <w:szCs w:val="21"/>
                <w:lang w:eastAsia="ar-SA"/>
              </w:rPr>
              <w:t>Требования к подрядной организации</w:t>
            </w:r>
          </w:p>
        </w:tc>
        <w:tc>
          <w:tcPr>
            <w:tcW w:w="7622" w:type="dxa"/>
            <w:vAlign w:val="center"/>
          </w:tcPr>
          <w:p w14:paraId="26213122"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shd w:val="clear" w:color="auto" w:fill="FFFFFF"/>
                <w:lang w:eastAsia="ru-RU"/>
              </w:rPr>
            </w:pPr>
            <w:r w:rsidRPr="00264340">
              <w:rPr>
                <w:rFonts w:ascii="Times New Roman" w:eastAsia="Times New Roman" w:hAnsi="Times New Roman" w:cs="Times New Roman"/>
                <w:color w:val="000000"/>
                <w:sz w:val="21"/>
                <w:szCs w:val="21"/>
                <w:shd w:val="clear" w:color="auto" w:fill="FFFFFF"/>
                <w:lang w:eastAsia="ru-RU"/>
              </w:rPr>
              <w:t>1.Участник аукциона должен быть членом СРО в области строительства объектов капитального строительства, уровень ответственности – не менее  I.                                                                            2. СРО, в котором состоит участник, должна иметь компенсационный фонд обеспечения договорных обязательств.</w:t>
            </w:r>
          </w:p>
          <w:p w14:paraId="6266AC4F"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shd w:val="clear" w:color="auto" w:fill="FFFFFF"/>
                <w:lang w:eastAsia="ru-RU"/>
              </w:rPr>
            </w:pPr>
            <w:r w:rsidRPr="00264340">
              <w:rPr>
                <w:rFonts w:ascii="Times New Roman" w:eastAsia="Times New Roman" w:hAnsi="Times New Roman" w:cs="Times New Roman"/>
                <w:color w:val="000000"/>
                <w:sz w:val="21"/>
                <w:szCs w:val="21"/>
                <w:shd w:val="clear" w:color="auto" w:fill="FFFFFF"/>
                <w:lang w:eastAsia="ru-RU"/>
              </w:rPr>
              <w:t xml:space="preserve">3. Совокупный размер обязательств участника конкурса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I.      </w:t>
            </w:r>
          </w:p>
        </w:tc>
      </w:tr>
      <w:tr w:rsidR="00264340" w:rsidRPr="00264340" w14:paraId="0A16B7E3" w14:textId="77777777" w:rsidTr="00264340">
        <w:tc>
          <w:tcPr>
            <w:tcW w:w="2802" w:type="dxa"/>
          </w:tcPr>
          <w:p w14:paraId="00E69AE7" w14:textId="77777777" w:rsidR="00264340" w:rsidRPr="00264340" w:rsidRDefault="00264340" w:rsidP="00264340">
            <w:pPr>
              <w:spacing w:after="0" w:line="240" w:lineRule="auto"/>
              <w:ind w:left="284" w:hanging="284"/>
              <w:rPr>
                <w:rFonts w:ascii="Times New Roman" w:eastAsia="Calibri" w:hAnsi="Times New Roman" w:cs="Times New Roman"/>
                <w:b/>
                <w:sz w:val="21"/>
                <w:szCs w:val="21"/>
              </w:rPr>
            </w:pPr>
            <w:r w:rsidRPr="00264340">
              <w:rPr>
                <w:rFonts w:ascii="Times New Roman" w:eastAsia="Times New Roman" w:hAnsi="Times New Roman" w:cs="Times New Roman"/>
                <w:b/>
                <w:color w:val="000000"/>
                <w:sz w:val="21"/>
                <w:szCs w:val="21"/>
                <w:lang w:eastAsia="ar-SA"/>
              </w:rPr>
              <w:t>1.15.</w:t>
            </w:r>
            <w:r w:rsidRPr="00264340">
              <w:rPr>
                <w:rFonts w:ascii="Times New Roman" w:eastAsia="Times New Roman" w:hAnsi="Times New Roman" w:cs="Times New Roman"/>
                <w:color w:val="000000"/>
                <w:sz w:val="21"/>
                <w:szCs w:val="21"/>
                <w:lang w:eastAsia="ar-SA"/>
              </w:rPr>
              <w:t xml:space="preserve"> </w:t>
            </w:r>
            <w:r w:rsidRPr="00264340">
              <w:rPr>
                <w:rFonts w:ascii="Times New Roman" w:eastAsia="Times New Roman" w:hAnsi="Times New Roman" w:cs="Times New Roman"/>
                <w:b/>
                <w:color w:val="000000"/>
                <w:sz w:val="21"/>
                <w:szCs w:val="21"/>
                <w:lang w:eastAsia="ar-SA"/>
              </w:rPr>
              <w:t>Требование к безопасности работ</w:t>
            </w:r>
          </w:p>
        </w:tc>
        <w:tc>
          <w:tcPr>
            <w:tcW w:w="7622" w:type="dxa"/>
            <w:vAlign w:val="center"/>
          </w:tcPr>
          <w:p w14:paraId="29D14C76" w14:textId="77777777" w:rsidR="00264340" w:rsidRPr="00264340" w:rsidRDefault="00264340" w:rsidP="00264340">
            <w:pPr>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34" w:anchor="block_10000" w:history="1">
              <w:r w:rsidRPr="00264340">
                <w:rPr>
                  <w:rFonts w:ascii="Times New Roman" w:eastAsia="Times New Roman" w:hAnsi="Times New Roman" w:cs="Times New Roman"/>
                  <w:color w:val="000000"/>
                  <w:sz w:val="21"/>
                  <w:szCs w:val="21"/>
                  <w:lang w:eastAsia="ar-SA"/>
                </w:rPr>
                <w:t>законодательства</w:t>
              </w:r>
            </w:hyperlink>
            <w:r w:rsidRPr="00264340">
              <w:rPr>
                <w:rFonts w:ascii="Times New Roman" w:eastAsia="Times New Roman" w:hAnsi="Times New Roman" w:cs="Times New Roman"/>
                <w:color w:val="000000"/>
                <w:sz w:val="21"/>
                <w:szCs w:val="21"/>
                <w:lang w:eastAsia="ar-SA"/>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 труда при строительстве, реконструкции и ремонте».</w:t>
            </w:r>
          </w:p>
          <w:p w14:paraId="5D6F1BB7"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14:paraId="0A872073" w14:textId="77777777" w:rsidR="00264340" w:rsidRPr="00264340" w:rsidRDefault="00264340" w:rsidP="00264340">
            <w:pPr>
              <w:widowControl w:val="0"/>
              <w:autoSpaceDE w:val="0"/>
              <w:autoSpaceDN w:val="0"/>
              <w:adjustRightInd w:val="0"/>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sz w:val="21"/>
                <w:szCs w:val="21"/>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14:paraId="7CF49937"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14:paraId="4EA6D116"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по учету образовавшихся, утилизированных, обезвреженных, переданных другим лицам или полученных от других лиц, а также размещенных отходов;</w:t>
            </w:r>
          </w:p>
          <w:p w14:paraId="70B00771"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ставить на учет и снимать с учета в органах Росприроднадзора объект строительства, сдавать отчеты по экологии;</w:t>
            </w:r>
          </w:p>
          <w:p w14:paraId="2C1A5AB6" w14:textId="77777777" w:rsidR="00264340" w:rsidRPr="00264340" w:rsidRDefault="00264340" w:rsidP="00264340">
            <w:pPr>
              <w:widowControl w:val="0"/>
              <w:autoSpaceDE w:val="0"/>
              <w:autoSpaceDN w:val="0"/>
              <w:adjustRightInd w:val="0"/>
              <w:spacing w:after="0" w:line="240" w:lineRule="auto"/>
              <w:jc w:val="both"/>
              <w:rPr>
                <w:rFonts w:ascii="Times New Roman" w:eastAsia="Times New Roman" w:hAnsi="Times New Roman" w:cs="Times New Roman"/>
                <w:color w:val="000000"/>
                <w:sz w:val="21"/>
                <w:szCs w:val="21"/>
                <w:lang w:eastAsia="ar-SA"/>
              </w:rPr>
            </w:pPr>
            <w:r w:rsidRPr="00264340">
              <w:rPr>
                <w:rFonts w:ascii="Times New Roman" w:eastAsia="Times New Roman" w:hAnsi="Times New Roman" w:cs="Times New Roman"/>
                <w:color w:val="000000"/>
                <w:sz w:val="21"/>
                <w:szCs w:val="21"/>
                <w:lang w:eastAsia="ar-SA"/>
              </w:rPr>
              <w:t>- нести затраты по оплате за НВОС (негативное воздействие на окружающую среду).</w:t>
            </w:r>
          </w:p>
        </w:tc>
      </w:tr>
      <w:tr w:rsidR="00264340" w:rsidRPr="00264340" w14:paraId="69D8B6D2" w14:textId="77777777" w:rsidTr="00264340">
        <w:tc>
          <w:tcPr>
            <w:tcW w:w="2802" w:type="dxa"/>
          </w:tcPr>
          <w:p w14:paraId="249922AF"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1.16. Форма, сроки и порядок оплаты работ, услуг</w:t>
            </w:r>
          </w:p>
        </w:tc>
        <w:tc>
          <w:tcPr>
            <w:tcW w:w="7622" w:type="dxa"/>
            <w:vAlign w:val="center"/>
          </w:tcPr>
          <w:p w14:paraId="21D4554A" w14:textId="77777777" w:rsidR="00264340" w:rsidRPr="00264340" w:rsidRDefault="00264340" w:rsidP="00264340">
            <w:pPr>
              <w:spacing w:before="240"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rPr>
              <w:t xml:space="preserve">Безналичный расчёт денежными средствами на расчет Генподрядчика, в течение 7 (семи) рабочих дней с даты подписания Заказчиком документов, предусмотренных п.3.1. Договора.  </w:t>
            </w:r>
          </w:p>
        </w:tc>
      </w:tr>
      <w:tr w:rsidR="00264340" w:rsidRPr="00264340" w14:paraId="32B8636C" w14:textId="77777777" w:rsidTr="00264340">
        <w:tc>
          <w:tcPr>
            <w:tcW w:w="2802" w:type="dxa"/>
          </w:tcPr>
          <w:p w14:paraId="39EA864F" w14:textId="77777777" w:rsidR="00264340" w:rsidRPr="00264340" w:rsidRDefault="00264340" w:rsidP="00264340">
            <w:pPr>
              <w:spacing w:after="0" w:line="240" w:lineRule="auto"/>
              <w:jc w:val="both"/>
              <w:rPr>
                <w:rFonts w:ascii="Times New Roman" w:eastAsia="Calibri" w:hAnsi="Times New Roman" w:cs="Times New Roman"/>
                <w:b/>
                <w:sz w:val="21"/>
                <w:szCs w:val="21"/>
              </w:rPr>
            </w:pPr>
            <w:r w:rsidRPr="00264340">
              <w:rPr>
                <w:rFonts w:ascii="Times New Roman" w:eastAsia="Calibri" w:hAnsi="Times New Roman" w:cs="Times New Roman"/>
                <w:b/>
                <w:sz w:val="21"/>
                <w:szCs w:val="21"/>
              </w:rPr>
              <w:t>1.17. Цена договора</w:t>
            </w:r>
          </w:p>
        </w:tc>
        <w:tc>
          <w:tcPr>
            <w:tcW w:w="7622" w:type="dxa"/>
            <w:vAlign w:val="center"/>
          </w:tcPr>
          <w:p w14:paraId="752F4D60"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Times New Roman" w:hAnsi="Times New Roman" w:cs="Times New Roman"/>
                <w:color w:val="000000"/>
                <w:sz w:val="21"/>
                <w:szCs w:val="21"/>
                <w:lang w:eastAsia="ru-RU"/>
              </w:rPr>
              <w:t>Цена работ включает в себя</w:t>
            </w:r>
            <w:r w:rsidRPr="00264340">
              <w:rPr>
                <w:rFonts w:ascii="Times New Roman" w:eastAsia="Times New Roman" w:hAnsi="Times New Roman" w:cs="Times New Roman"/>
                <w:i/>
                <w:iCs/>
                <w:color w:val="000000"/>
                <w:sz w:val="21"/>
                <w:szCs w:val="21"/>
                <w:lang w:eastAsia="ru-RU" w:bidi="ru-RU"/>
              </w:rPr>
              <w:t xml:space="preserve"> </w:t>
            </w:r>
            <w:r w:rsidRPr="00264340">
              <w:rPr>
                <w:rFonts w:ascii="Times New Roman" w:eastAsia="Times New Roman" w:hAnsi="Times New Roman" w:cs="Times New Roman"/>
                <w:iCs/>
                <w:color w:val="000000"/>
                <w:sz w:val="21"/>
                <w:szCs w:val="21"/>
                <w:lang w:eastAsia="ru-RU" w:bidi="ru-RU"/>
              </w:rPr>
              <w:t xml:space="preserve">стоимость всех </w:t>
            </w:r>
            <w:r w:rsidRPr="00264340">
              <w:rPr>
                <w:rFonts w:ascii="Times New Roman" w:eastAsia="Times New Roman" w:hAnsi="Times New Roman" w:cs="Times New Roman"/>
                <w:color w:val="000000"/>
                <w:sz w:val="21"/>
                <w:szCs w:val="21"/>
                <w:lang w:eastAsia="ru-RU"/>
              </w:rPr>
              <w:t>затрат Генподрядчика,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264340" w:rsidRPr="00264340" w14:paraId="33E0A4C1" w14:textId="77777777" w:rsidTr="00264340">
        <w:tc>
          <w:tcPr>
            <w:tcW w:w="2802" w:type="dxa"/>
          </w:tcPr>
          <w:p w14:paraId="13957A2D" w14:textId="77777777" w:rsidR="00264340" w:rsidRPr="00264340" w:rsidRDefault="00264340" w:rsidP="00264340">
            <w:pPr>
              <w:spacing w:after="0" w:line="240" w:lineRule="auto"/>
              <w:rPr>
                <w:rFonts w:ascii="Times New Roman" w:eastAsia="Calibri" w:hAnsi="Times New Roman" w:cs="Times New Roman"/>
                <w:b/>
                <w:sz w:val="21"/>
                <w:szCs w:val="21"/>
              </w:rPr>
            </w:pPr>
            <w:r w:rsidRPr="00264340">
              <w:rPr>
                <w:rFonts w:ascii="Times New Roman" w:eastAsia="Calibri" w:hAnsi="Times New Roman" w:cs="Times New Roman"/>
                <w:b/>
                <w:sz w:val="21"/>
                <w:szCs w:val="21"/>
              </w:rPr>
              <w:t>Обеспечение исполнения Договора</w:t>
            </w:r>
          </w:p>
        </w:tc>
        <w:tc>
          <w:tcPr>
            <w:tcW w:w="7622" w:type="dxa"/>
            <w:vAlign w:val="center"/>
          </w:tcPr>
          <w:p w14:paraId="687CC518" w14:textId="77777777" w:rsidR="00264340" w:rsidRPr="00264340" w:rsidRDefault="00264340" w:rsidP="00264340">
            <w:pPr>
              <w:spacing w:after="0" w:line="240" w:lineRule="auto"/>
              <w:jc w:val="both"/>
              <w:rPr>
                <w:rFonts w:ascii="Times New Roman" w:eastAsia="Calibri" w:hAnsi="Times New Roman" w:cs="Times New Roman"/>
                <w:bCs/>
                <w:sz w:val="21"/>
                <w:szCs w:val="21"/>
              </w:rPr>
            </w:pPr>
            <w:r w:rsidRPr="00264340">
              <w:rPr>
                <w:rFonts w:ascii="Times New Roman" w:eastAsia="Calibri" w:hAnsi="Times New Roman" w:cs="Times New Roman"/>
                <w:bCs/>
                <w:sz w:val="21"/>
                <w:szCs w:val="21"/>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14:paraId="15A22521" w14:textId="77777777" w:rsidR="00264340" w:rsidRPr="00264340" w:rsidRDefault="00264340" w:rsidP="00264340">
            <w:pPr>
              <w:spacing w:after="0" w:line="240" w:lineRule="auto"/>
              <w:jc w:val="both"/>
              <w:rPr>
                <w:rFonts w:ascii="Times New Roman" w:eastAsia="Calibri" w:hAnsi="Times New Roman" w:cs="Times New Roman"/>
                <w:bCs/>
                <w:sz w:val="21"/>
                <w:szCs w:val="21"/>
              </w:rPr>
            </w:pPr>
            <w:r w:rsidRPr="00264340">
              <w:rPr>
                <w:rFonts w:ascii="Times New Roman" w:eastAsia="Calibri" w:hAnsi="Times New Roman" w:cs="Times New Roman"/>
                <w:bCs/>
                <w:sz w:val="21"/>
                <w:szCs w:val="21"/>
              </w:rPr>
              <w:t>Заказчик возвращает Генеральному подрядчику денежные средства, удержанные в качестве обеспечения исполнения Договора в следующем порядке:</w:t>
            </w:r>
          </w:p>
          <w:p w14:paraId="08771CB0" w14:textId="77777777" w:rsidR="00264340" w:rsidRPr="00264340" w:rsidRDefault="00264340" w:rsidP="00264340">
            <w:pPr>
              <w:spacing w:after="0" w:line="240" w:lineRule="auto"/>
              <w:jc w:val="both"/>
              <w:rPr>
                <w:rFonts w:ascii="Times New Roman" w:eastAsia="Calibri" w:hAnsi="Times New Roman" w:cs="Times New Roman"/>
                <w:bCs/>
                <w:sz w:val="21"/>
                <w:szCs w:val="21"/>
              </w:rPr>
            </w:pPr>
            <w:r w:rsidRPr="00264340">
              <w:rPr>
                <w:rFonts w:ascii="Times New Roman" w:eastAsia="Calibri" w:hAnsi="Times New Roman" w:cs="Times New Roman"/>
                <w:bCs/>
                <w:sz w:val="21"/>
                <w:szCs w:val="21"/>
              </w:rPr>
              <w:lastRenderedPageBreak/>
              <w:t xml:space="preserve">     - 80% после получения разрешения на ввод объекта в эксплуатацию;</w:t>
            </w:r>
          </w:p>
          <w:p w14:paraId="5C943A2B" w14:textId="77777777" w:rsidR="00264340" w:rsidRPr="00264340" w:rsidRDefault="00264340" w:rsidP="00264340">
            <w:pPr>
              <w:spacing w:after="0" w:line="240" w:lineRule="auto"/>
              <w:jc w:val="both"/>
              <w:rPr>
                <w:rFonts w:ascii="Times New Roman" w:eastAsia="Calibri" w:hAnsi="Times New Roman" w:cs="Times New Roman"/>
                <w:bCs/>
                <w:sz w:val="21"/>
                <w:szCs w:val="21"/>
              </w:rPr>
            </w:pPr>
            <w:r w:rsidRPr="00264340">
              <w:rPr>
                <w:rFonts w:ascii="Times New Roman" w:eastAsia="Calibri" w:hAnsi="Times New Roman" w:cs="Times New Roman"/>
                <w:bCs/>
                <w:sz w:val="21"/>
                <w:szCs w:val="21"/>
              </w:rPr>
              <w:t xml:space="preserve">     - 20% после передачи объекта эксплуатирующей организации.</w:t>
            </w:r>
          </w:p>
          <w:p w14:paraId="3D88603C" w14:textId="77777777" w:rsidR="00264340" w:rsidRPr="00264340" w:rsidRDefault="00264340" w:rsidP="00264340">
            <w:pPr>
              <w:spacing w:after="0" w:line="240" w:lineRule="auto"/>
              <w:jc w:val="both"/>
              <w:rPr>
                <w:rFonts w:ascii="Times New Roman" w:eastAsia="Calibri" w:hAnsi="Times New Roman" w:cs="Times New Roman"/>
                <w:sz w:val="21"/>
                <w:szCs w:val="21"/>
              </w:rPr>
            </w:pPr>
            <w:r w:rsidRPr="00264340">
              <w:rPr>
                <w:rFonts w:ascii="Times New Roman" w:eastAsia="Calibri" w:hAnsi="Times New Roman" w:cs="Times New Roman"/>
                <w:bCs/>
                <w:sz w:val="21"/>
                <w:szCs w:val="21"/>
              </w:rPr>
              <w:t>В случае неисполнения или ненадлежащего исполнения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14:paraId="44E9A092"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73B36CF" w14:textId="3569AC0C" w:rsidR="002E6869"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76170">
        <w:rPr>
          <w:rFonts w:ascii="Times New Roman" w:eastAsia="Times New Roman" w:hAnsi="Times New Roman" w:cs="Times New Roman"/>
          <w:sz w:val="24"/>
          <w:szCs w:val="24"/>
          <w:lang w:eastAsia="ru-RU"/>
        </w:rPr>
        <w:t>риложение к техзадание. Проектная</w:t>
      </w:r>
      <w:r>
        <w:rPr>
          <w:rFonts w:ascii="Times New Roman" w:eastAsia="Times New Roman" w:hAnsi="Times New Roman" w:cs="Times New Roman"/>
          <w:sz w:val="24"/>
          <w:szCs w:val="24"/>
          <w:lang w:eastAsia="ru-RU"/>
        </w:rPr>
        <w:t xml:space="preserve"> документация</w:t>
      </w: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962798" w:rsidRDefault="00E70EA9" w:rsidP="00E70EA9">
      <w:pPr>
        <w:tabs>
          <w:tab w:val="left" w:pos="360"/>
          <w:tab w:val="left" w:pos="400"/>
        </w:tabs>
        <w:spacing w:after="0" w:line="240" w:lineRule="auto"/>
        <w:jc w:val="both"/>
        <w:rPr>
          <w:rFonts w:ascii="Times New Roman" w:hAnsi="Times New Roman" w:cs="Times New Roman"/>
          <w:sz w:val="24"/>
          <w:szCs w:val="24"/>
        </w:rPr>
      </w:pPr>
      <w:r w:rsidRPr="00962798">
        <w:rPr>
          <w:rFonts w:ascii="Times New Roman" w:hAnsi="Times New Roman" w:cs="Times New Roman"/>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FB9FD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2F391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AE269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60B0C4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0E3CE93"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7A9538"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BB3A8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C1BEF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C8B73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22A9C5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D89A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D55CA4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F3D784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43D2D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1555D9"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8B2227"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78A6C1"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A233A5"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A4329B"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65335"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22C522"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BF1A1F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E02B7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5F07C2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D7AAA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DBB85C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E077EA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092AD53"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102F21"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A9EE1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208DF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9CE9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lastRenderedPageBreak/>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и самозанятые</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C1D5A7A"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D24D66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94236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6C38CEC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A61CE7C"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53B4063"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D2211E5"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F1568D1"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362DF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32C1A8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E02CB11"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C352817"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0E4FB6D3"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325868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1A6ECFD"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BDEA11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6D6E0E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532FC99"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011616F"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5"/>
          <w:footerReference w:type="default" r:id="rId36"/>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7"/>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FE8F1" w14:textId="77777777" w:rsidR="00AD0436" w:rsidRDefault="00AD0436">
      <w:pPr>
        <w:spacing w:after="0" w:line="240" w:lineRule="auto"/>
      </w:pPr>
      <w:r>
        <w:separator/>
      </w:r>
    </w:p>
  </w:endnote>
  <w:endnote w:type="continuationSeparator" w:id="0">
    <w:p w14:paraId="6258198D" w14:textId="77777777" w:rsidR="00AD0436" w:rsidRDefault="00A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C46078" w:rsidRDefault="00C46078">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C46078" w:rsidRDefault="00C46078">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A4D9094"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" filled="f" stroked="f">
              <v:textbox style="mso-fit-shape-to-text:t" inset="0,0,0,0">
                <w:txbxContent>
                  <w:p w14:paraId="05B14C2D" w14:textId="77777777" w:rsidR="00C46078" w:rsidRDefault="00C46078">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C46078" w:rsidRDefault="00C46078">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C46078" w:rsidRDefault="00C46078">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6C4378" w:rsidRPr="006C4378">
                            <w:rPr>
                              <w:rStyle w:val="af0"/>
                              <w:b/>
                              <w:bCs/>
                              <w:noProof/>
                            </w:rPr>
                            <w:t>30</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C46078" w:rsidRDefault="00C46078">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6C4378" w:rsidRPr="006C4378">
                      <w:rPr>
                        <w:rStyle w:val="af0"/>
                        <w:b/>
                        <w:bCs/>
                        <w:noProof/>
                      </w:rPr>
                      <w:t>30</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C46078" w:rsidRDefault="00C46078" w:rsidP="00EA4E9E">
    <w:pPr>
      <w:pStyle w:val="ad"/>
      <w:jc w:val="right"/>
    </w:pPr>
    <w:r>
      <w:fldChar w:fldCharType="begin"/>
    </w:r>
    <w:r>
      <w:instrText>PAGE   \* MERGEFORMAT</w:instrText>
    </w:r>
    <w:r>
      <w:fldChar w:fldCharType="separate"/>
    </w:r>
    <w:r w:rsidR="006C4378">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1B43E" w14:textId="77777777" w:rsidR="00AD0436" w:rsidRDefault="00AD0436">
      <w:pPr>
        <w:spacing w:after="0" w:line="240" w:lineRule="auto"/>
      </w:pPr>
      <w:r>
        <w:separator/>
      </w:r>
    </w:p>
  </w:footnote>
  <w:footnote w:type="continuationSeparator" w:id="0">
    <w:p w14:paraId="2615D685" w14:textId="77777777" w:rsidR="00AD0436" w:rsidRDefault="00AD0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704AC"/>
    <w:multiLevelType w:val="hybridMultilevel"/>
    <w:tmpl w:val="A2D0A2A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start w:val="1"/>
      <w:numFmt w:val="bullet"/>
      <w:lvlText w:val=""/>
      <w:lvlJc w:val="left"/>
      <w:pPr>
        <w:ind w:left="1069"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61E5"/>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0267"/>
    <w:rsid w:val="001025B1"/>
    <w:rsid w:val="00104263"/>
    <w:rsid w:val="00104BCD"/>
    <w:rsid w:val="001061FB"/>
    <w:rsid w:val="001172CD"/>
    <w:rsid w:val="00117E17"/>
    <w:rsid w:val="00120D95"/>
    <w:rsid w:val="001218FA"/>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502CC"/>
    <w:rsid w:val="0015160E"/>
    <w:rsid w:val="00152CA3"/>
    <w:rsid w:val="0016242F"/>
    <w:rsid w:val="00166E07"/>
    <w:rsid w:val="00175305"/>
    <w:rsid w:val="0017578D"/>
    <w:rsid w:val="00176170"/>
    <w:rsid w:val="00177CA6"/>
    <w:rsid w:val="00180F5E"/>
    <w:rsid w:val="00184592"/>
    <w:rsid w:val="0019122F"/>
    <w:rsid w:val="00191710"/>
    <w:rsid w:val="00196051"/>
    <w:rsid w:val="001B0BDE"/>
    <w:rsid w:val="001B3483"/>
    <w:rsid w:val="001B5925"/>
    <w:rsid w:val="001C073A"/>
    <w:rsid w:val="001C5577"/>
    <w:rsid w:val="001C7B4A"/>
    <w:rsid w:val="001D3A1C"/>
    <w:rsid w:val="001D3C29"/>
    <w:rsid w:val="001E1104"/>
    <w:rsid w:val="001E3811"/>
    <w:rsid w:val="001F0B3E"/>
    <w:rsid w:val="00206CE7"/>
    <w:rsid w:val="00210615"/>
    <w:rsid w:val="00210E3F"/>
    <w:rsid w:val="00215AA6"/>
    <w:rsid w:val="00217369"/>
    <w:rsid w:val="00220C31"/>
    <w:rsid w:val="00222DC9"/>
    <w:rsid w:val="002234BA"/>
    <w:rsid w:val="0022523D"/>
    <w:rsid w:val="00230DEC"/>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4340"/>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36DC"/>
    <w:rsid w:val="002B511F"/>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13E7"/>
    <w:rsid w:val="003C4B76"/>
    <w:rsid w:val="003D2031"/>
    <w:rsid w:val="003D40EE"/>
    <w:rsid w:val="003E2A5F"/>
    <w:rsid w:val="003E3649"/>
    <w:rsid w:val="003E63ED"/>
    <w:rsid w:val="003F304A"/>
    <w:rsid w:val="003F3F73"/>
    <w:rsid w:val="0040059D"/>
    <w:rsid w:val="00416159"/>
    <w:rsid w:val="00422DC3"/>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0964"/>
    <w:rsid w:val="0059477B"/>
    <w:rsid w:val="005A0708"/>
    <w:rsid w:val="005A4805"/>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4378"/>
    <w:rsid w:val="006C7269"/>
    <w:rsid w:val="006D0B6D"/>
    <w:rsid w:val="006D1006"/>
    <w:rsid w:val="006D39C9"/>
    <w:rsid w:val="006D40F7"/>
    <w:rsid w:val="006D77EB"/>
    <w:rsid w:val="006E2BA5"/>
    <w:rsid w:val="006E3B82"/>
    <w:rsid w:val="0070261F"/>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2AB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C6CC4"/>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5046"/>
    <w:rsid w:val="008C69C2"/>
    <w:rsid w:val="008C768F"/>
    <w:rsid w:val="008D15D4"/>
    <w:rsid w:val="008D1FAE"/>
    <w:rsid w:val="008D28FF"/>
    <w:rsid w:val="008D3F18"/>
    <w:rsid w:val="008D400E"/>
    <w:rsid w:val="008E182A"/>
    <w:rsid w:val="008E2874"/>
    <w:rsid w:val="008E355A"/>
    <w:rsid w:val="008E3DD2"/>
    <w:rsid w:val="008E4212"/>
    <w:rsid w:val="008E61DD"/>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64C39"/>
    <w:rsid w:val="0097114E"/>
    <w:rsid w:val="00971CB7"/>
    <w:rsid w:val="00972B4C"/>
    <w:rsid w:val="00973A67"/>
    <w:rsid w:val="00982003"/>
    <w:rsid w:val="00982D26"/>
    <w:rsid w:val="00984121"/>
    <w:rsid w:val="00986651"/>
    <w:rsid w:val="0099102B"/>
    <w:rsid w:val="009925F0"/>
    <w:rsid w:val="00993DA8"/>
    <w:rsid w:val="0099409E"/>
    <w:rsid w:val="009965FB"/>
    <w:rsid w:val="009968B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22D51"/>
    <w:rsid w:val="00A25FE5"/>
    <w:rsid w:val="00A27B25"/>
    <w:rsid w:val="00A32D4A"/>
    <w:rsid w:val="00A33E20"/>
    <w:rsid w:val="00A34661"/>
    <w:rsid w:val="00A373AE"/>
    <w:rsid w:val="00A375EA"/>
    <w:rsid w:val="00A435A2"/>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0436"/>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4609"/>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6188A"/>
    <w:rsid w:val="00B61E3E"/>
    <w:rsid w:val="00B661CE"/>
    <w:rsid w:val="00B665CC"/>
    <w:rsid w:val="00B71031"/>
    <w:rsid w:val="00B77626"/>
    <w:rsid w:val="00B824CB"/>
    <w:rsid w:val="00B8276D"/>
    <w:rsid w:val="00B8566D"/>
    <w:rsid w:val="00B938AD"/>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2293"/>
    <w:rsid w:val="00C44201"/>
    <w:rsid w:val="00C44300"/>
    <w:rsid w:val="00C44FDC"/>
    <w:rsid w:val="00C46078"/>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3931"/>
    <w:rsid w:val="00D75BFA"/>
    <w:rsid w:val="00D81ECA"/>
    <w:rsid w:val="00D83315"/>
    <w:rsid w:val="00D92D8F"/>
    <w:rsid w:val="00D944AF"/>
    <w:rsid w:val="00D95639"/>
    <w:rsid w:val="00DA0563"/>
    <w:rsid w:val="00DA2C07"/>
    <w:rsid w:val="00DA54F4"/>
    <w:rsid w:val="00DA7B33"/>
    <w:rsid w:val="00DB12B3"/>
    <w:rsid w:val="00DB1AC2"/>
    <w:rsid w:val="00DB2F6C"/>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DF4151"/>
    <w:rsid w:val="00E00E77"/>
    <w:rsid w:val="00E064C8"/>
    <w:rsid w:val="00E07373"/>
    <w:rsid w:val="00E11DAC"/>
    <w:rsid w:val="00E14C48"/>
    <w:rsid w:val="00E17D04"/>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440B"/>
    <w:rsid w:val="00F15171"/>
    <w:rsid w:val="00F257EA"/>
    <w:rsid w:val="00F2611E"/>
    <w:rsid w:val="00F30BBB"/>
    <w:rsid w:val="00F30EEC"/>
    <w:rsid w:val="00F418FE"/>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3048"/>
    <w:rsid w:val="00F839AB"/>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hyperlink" Target="http://base.garant.ru/12125268/33/" TargetMode="Externa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gsfrb.ru"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oter" Target="footer2.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31</Pages>
  <Words>13603</Words>
  <Characters>77542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90</cp:revision>
  <cp:lastPrinted>2025-04-30T09:16:00Z</cp:lastPrinted>
  <dcterms:created xsi:type="dcterms:W3CDTF">2022-08-01T09:01:00Z</dcterms:created>
  <dcterms:modified xsi:type="dcterms:W3CDTF">2025-05-05T10:21:00Z</dcterms:modified>
</cp:coreProperties>
</file>