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860616" w:rsidRPr="00860616" w:rsidTr="008E46B7">
              <w:tc>
                <w:tcPr>
                  <w:tcW w:w="5070" w:type="dxa"/>
                </w:tcPr>
                <w:p w:rsidR="008E46B7" w:rsidRPr="00860ECA" w:rsidRDefault="008E46B7" w:rsidP="008E46B7">
                  <w:pPr>
                    <w:autoSpaceDE w:val="0"/>
                    <w:autoSpaceDN w:val="0"/>
                    <w:adjustRightInd w:val="0"/>
                    <w:jc w:val="both"/>
                    <w:rPr>
                      <w:b/>
                    </w:rPr>
                  </w:pPr>
                </w:p>
              </w:tc>
              <w:tc>
                <w:tcPr>
                  <w:tcW w:w="4995" w:type="dxa"/>
                </w:tcPr>
                <w:p w:rsidR="008E46B7" w:rsidRPr="00860ECA" w:rsidRDefault="008E46B7" w:rsidP="008E46B7">
                  <w:pPr>
                    <w:autoSpaceDE w:val="0"/>
                    <w:autoSpaceDN w:val="0"/>
                    <w:adjustRightInd w:val="0"/>
                    <w:jc w:val="both"/>
                    <w:rPr>
                      <w:b/>
                    </w:rPr>
                  </w:pPr>
                  <w:r w:rsidRPr="00860ECA">
                    <w:rPr>
                      <w:b/>
                    </w:rPr>
                    <w:t xml:space="preserve">            УТВЕРЖДЕНО</w:t>
                  </w:r>
                </w:p>
                <w:p w:rsidR="008E46B7" w:rsidRPr="00860ECA" w:rsidRDefault="008E46B7" w:rsidP="008E46B7">
                  <w:pPr>
                    <w:autoSpaceDE w:val="0"/>
                    <w:autoSpaceDN w:val="0"/>
                    <w:adjustRightInd w:val="0"/>
                    <w:jc w:val="both"/>
                    <w:rPr>
                      <w:b/>
                    </w:rPr>
                  </w:pPr>
                  <w:r w:rsidRPr="00860ECA">
                    <w:rPr>
                      <w:rFonts w:eastAsia="MS Mincho"/>
                    </w:rPr>
                    <w:t>протокол</w:t>
                  </w:r>
                  <w:r w:rsidR="00B32718" w:rsidRPr="00860ECA">
                    <w:rPr>
                      <w:rFonts w:eastAsia="MS Mincho"/>
                    </w:rPr>
                    <w:t>ом</w:t>
                  </w:r>
                  <w:r w:rsidRPr="00860ECA">
                    <w:rPr>
                      <w:rFonts w:eastAsia="MS Mincho"/>
                    </w:rPr>
                    <w:t xml:space="preserve"> заседани</w:t>
                  </w:r>
                  <w:r w:rsidR="005B7BE5" w:rsidRPr="00860ECA">
                    <w:rPr>
                      <w:rFonts w:eastAsia="MS Mincho"/>
                    </w:rPr>
                    <w:t>й</w:t>
                  </w:r>
                  <w:r w:rsidRPr="00860ECA">
                    <w:rPr>
                      <w:rFonts w:eastAsia="MS Mincho"/>
                    </w:rPr>
                    <w:t xml:space="preserve"> аукционной комиссии</w:t>
                  </w:r>
                </w:p>
                <w:p w:rsidR="005B7BE5" w:rsidRPr="00860ECA" w:rsidRDefault="008E46B7" w:rsidP="00356C19">
                  <w:pPr>
                    <w:rPr>
                      <w:rFonts w:eastAsia="MS Mincho"/>
                    </w:rPr>
                  </w:pPr>
                  <w:r w:rsidRPr="00860ECA">
                    <w:rPr>
                      <w:rFonts w:eastAsia="MS Mincho"/>
                    </w:rPr>
                    <w:t>ГУП «Фонд жилищного строительства Республики Башкортостан»</w:t>
                  </w:r>
                </w:p>
                <w:p w:rsidR="004E128D" w:rsidRPr="00860ECA" w:rsidRDefault="00395372" w:rsidP="00356C19">
                  <w:pPr>
                    <w:rPr>
                      <w:rFonts w:eastAsia="MS Mincho"/>
                    </w:rPr>
                  </w:pPr>
                  <w:r w:rsidRPr="00860ECA">
                    <w:rPr>
                      <w:rFonts w:eastAsia="MS Mincho"/>
                    </w:rPr>
                    <w:t>№</w:t>
                  </w:r>
                  <w:r w:rsidR="00860ECA" w:rsidRPr="00860ECA">
                    <w:rPr>
                      <w:rFonts w:eastAsia="MS Mincho"/>
                    </w:rPr>
                    <w:t>95 от 10.09.2024 года</w:t>
                  </w:r>
                </w:p>
                <w:p w:rsidR="00E715B3" w:rsidRPr="00860ECA" w:rsidRDefault="00E715B3" w:rsidP="00356C19">
                  <w:pPr>
                    <w:rPr>
                      <w:rFonts w:eastAsia="MS Mincho"/>
                    </w:rPr>
                  </w:pPr>
                </w:p>
                <w:p w:rsidR="00E715B3" w:rsidRPr="00860ECA" w:rsidRDefault="00E715B3" w:rsidP="00356C19">
                  <w:pPr>
                    <w:rPr>
                      <w:rFonts w:eastAsia="MS Mincho"/>
                    </w:rPr>
                  </w:pPr>
                </w:p>
                <w:p w:rsidR="008E46B7" w:rsidRPr="00860ECA" w:rsidRDefault="008E46B7" w:rsidP="00A34498">
                  <w:pPr>
                    <w:autoSpaceDE w:val="0"/>
                    <w:autoSpaceDN w:val="0"/>
                    <w:adjustRightInd w:val="0"/>
                    <w:jc w:val="both"/>
                  </w:pPr>
                </w:p>
                <w:p w:rsidR="00A34498" w:rsidRPr="00860ECA"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9A370D" w:rsidP="006177CF">
      <w:pPr>
        <w:spacing w:line="360" w:lineRule="auto"/>
        <w:jc w:val="center"/>
        <w:rPr>
          <w:b/>
          <w:bCs/>
          <w:sz w:val="28"/>
          <w:szCs w:val="28"/>
        </w:rPr>
      </w:pPr>
      <w:r>
        <w:rPr>
          <w:b/>
          <w:bCs/>
          <w:sz w:val="28"/>
          <w:szCs w:val="28"/>
        </w:rPr>
        <w:t xml:space="preserve">нежилого помещения площадью 225,6 </w:t>
      </w:r>
      <w:proofErr w:type="spellStart"/>
      <w:r>
        <w:rPr>
          <w:b/>
          <w:bCs/>
          <w:sz w:val="28"/>
          <w:szCs w:val="28"/>
        </w:rPr>
        <w:t>кв.м</w:t>
      </w:r>
      <w:proofErr w:type="spellEnd"/>
      <w:r>
        <w:rPr>
          <w:b/>
          <w:bCs/>
          <w:sz w:val="28"/>
          <w:szCs w:val="28"/>
        </w:rPr>
        <w:t>.</w:t>
      </w:r>
      <w:r w:rsidR="006177CF" w:rsidRPr="0033417D">
        <w:rPr>
          <w:b/>
          <w:bCs/>
          <w:sz w:val="28"/>
          <w:szCs w:val="28"/>
        </w:rPr>
        <w:t xml:space="preserve">,  </w:t>
      </w:r>
    </w:p>
    <w:p w:rsidR="006177CF" w:rsidRDefault="006177CF" w:rsidP="006177CF">
      <w:pPr>
        <w:spacing w:line="360" w:lineRule="auto"/>
        <w:jc w:val="center"/>
        <w:rPr>
          <w:b/>
          <w:bCs/>
          <w:sz w:val="28"/>
          <w:szCs w:val="28"/>
        </w:rPr>
      </w:pPr>
      <w:r w:rsidRPr="0033417D">
        <w:rPr>
          <w:b/>
          <w:bCs/>
          <w:sz w:val="28"/>
          <w:szCs w:val="28"/>
        </w:rPr>
        <w:t>расположенн</w:t>
      </w:r>
      <w:r w:rsidR="009A370D">
        <w:rPr>
          <w:b/>
          <w:bCs/>
          <w:sz w:val="28"/>
          <w:szCs w:val="28"/>
        </w:rPr>
        <w:t>ого</w:t>
      </w:r>
      <w:r w:rsidRPr="0033417D">
        <w:rPr>
          <w:b/>
          <w:bCs/>
          <w:sz w:val="28"/>
          <w:szCs w:val="28"/>
        </w:rPr>
        <w:t xml:space="preserve"> по адресу:</w:t>
      </w:r>
    </w:p>
    <w:p w:rsidR="00700954" w:rsidRDefault="006177CF" w:rsidP="00700954">
      <w:pPr>
        <w:spacing w:line="360" w:lineRule="auto"/>
        <w:jc w:val="center"/>
        <w:rPr>
          <w:b/>
          <w:bCs/>
          <w:sz w:val="28"/>
          <w:szCs w:val="28"/>
        </w:rPr>
      </w:pPr>
      <w:r w:rsidRPr="0033417D">
        <w:rPr>
          <w:b/>
          <w:bCs/>
          <w:sz w:val="28"/>
          <w:szCs w:val="28"/>
        </w:rPr>
        <w:t xml:space="preserve"> Республика Башкортостан, </w:t>
      </w:r>
      <w:r w:rsidR="00700954">
        <w:rPr>
          <w:b/>
          <w:bCs/>
          <w:sz w:val="28"/>
          <w:szCs w:val="28"/>
        </w:rPr>
        <w:t xml:space="preserve">г.Уфа, Орджоникидзевский район, </w:t>
      </w:r>
    </w:p>
    <w:p w:rsidR="006177CF" w:rsidRDefault="00700954" w:rsidP="00700954">
      <w:pPr>
        <w:spacing w:line="360" w:lineRule="auto"/>
        <w:jc w:val="center"/>
        <w:rPr>
          <w:b/>
          <w:bCs/>
          <w:sz w:val="28"/>
          <w:szCs w:val="28"/>
        </w:rPr>
      </w:pPr>
      <w:proofErr w:type="spellStart"/>
      <w:r>
        <w:rPr>
          <w:b/>
          <w:bCs/>
          <w:sz w:val="28"/>
          <w:szCs w:val="28"/>
        </w:rPr>
        <w:t>ул.Блюхера</w:t>
      </w:r>
      <w:proofErr w:type="spellEnd"/>
      <w:r>
        <w:rPr>
          <w:b/>
          <w:bCs/>
          <w:sz w:val="28"/>
          <w:szCs w:val="28"/>
        </w:rPr>
        <w:t xml:space="preserve"> д.3/6 </w:t>
      </w:r>
      <w:r w:rsidR="009A370D">
        <w:rPr>
          <w:b/>
          <w:bCs/>
          <w:sz w:val="28"/>
          <w:szCs w:val="28"/>
        </w:rPr>
        <w:t xml:space="preserve">  помещение №229</w:t>
      </w:r>
    </w:p>
    <w:p w:rsidR="00A5458C" w:rsidRPr="00B57885" w:rsidRDefault="00A5458C" w:rsidP="00700954">
      <w:pPr>
        <w:spacing w:line="360" w:lineRule="auto"/>
        <w:jc w:val="center"/>
        <w:rPr>
          <w:bCs/>
          <w:color w:val="C00000"/>
          <w:sz w:val="22"/>
          <w:szCs w:val="22"/>
        </w:rPr>
      </w:pP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п/п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w:t>
            </w:r>
          </w:p>
        </w:tc>
        <w:tc>
          <w:tcPr>
            <w:tcW w:w="7050" w:type="dxa"/>
            <w:shd w:val="clear" w:color="000000" w:fill="auto"/>
            <w:vAlign w:val="center"/>
          </w:tcPr>
          <w:p w:rsidR="00DE75F5" w:rsidRPr="00F33D3C" w:rsidRDefault="00356C19" w:rsidP="00DE75F5">
            <w:r w:rsidRPr="00F33D3C">
              <w:t>ИНФОРМАЦИОННОЕ СООБЩЕНИЕ</w:t>
            </w:r>
          </w:p>
        </w:tc>
        <w:tc>
          <w:tcPr>
            <w:tcW w:w="1887" w:type="dxa"/>
            <w:shd w:val="clear" w:color="000000" w:fill="auto"/>
            <w:vAlign w:val="center"/>
          </w:tcPr>
          <w:p w:rsidR="00356C19" w:rsidRPr="00F33D3C" w:rsidRDefault="00356C19" w:rsidP="00356C19">
            <w:r w:rsidRPr="00F33D3C">
              <w:t>3</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II.</w:t>
            </w:r>
          </w:p>
        </w:tc>
        <w:tc>
          <w:tcPr>
            <w:tcW w:w="8937" w:type="dxa"/>
            <w:gridSpan w:val="2"/>
            <w:shd w:val="clear" w:color="000000" w:fill="auto"/>
            <w:vAlign w:val="center"/>
          </w:tcPr>
          <w:p w:rsidR="00DE75F5" w:rsidRPr="00F33D3C" w:rsidRDefault="00356C19" w:rsidP="00DE75F5">
            <w:r w:rsidRPr="00F33D3C">
              <w:t>ОБЩИЕ ПОЛОЖЕНИЯ</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1.</w:t>
            </w:r>
          </w:p>
        </w:tc>
        <w:tc>
          <w:tcPr>
            <w:tcW w:w="7050" w:type="dxa"/>
            <w:shd w:val="clear" w:color="000000" w:fill="auto"/>
          </w:tcPr>
          <w:p w:rsidR="00356C19" w:rsidRPr="00F33D3C" w:rsidRDefault="00716B46" w:rsidP="00356C19">
            <w:r w:rsidRPr="00F33D3C">
              <w:t>Законодательное регулирование, основные термины и определения</w:t>
            </w:r>
          </w:p>
        </w:tc>
        <w:tc>
          <w:tcPr>
            <w:tcW w:w="1887" w:type="dxa"/>
            <w:shd w:val="clear" w:color="000000" w:fill="auto"/>
          </w:tcPr>
          <w:p w:rsidR="00356C19" w:rsidRPr="00F33D3C" w:rsidRDefault="0008362B" w:rsidP="00356C19">
            <w:r>
              <w:t>5</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2.</w:t>
            </w:r>
          </w:p>
        </w:tc>
        <w:tc>
          <w:tcPr>
            <w:tcW w:w="7050" w:type="dxa"/>
            <w:shd w:val="clear" w:color="000000" w:fill="auto"/>
          </w:tcPr>
          <w:p w:rsidR="00356C19" w:rsidRPr="00F33D3C" w:rsidRDefault="00F67EA9" w:rsidP="00F67EA9">
            <w:r w:rsidRPr="00F33D3C">
              <w:t>Порядок ознакомления с документами и информацией об имуществе,  осмотр объектов</w:t>
            </w:r>
          </w:p>
        </w:tc>
        <w:tc>
          <w:tcPr>
            <w:tcW w:w="1887" w:type="dxa"/>
            <w:shd w:val="clear" w:color="000000" w:fill="auto"/>
          </w:tcPr>
          <w:p w:rsidR="00356C19" w:rsidRPr="00F33D3C" w:rsidRDefault="0008362B" w:rsidP="00356C19">
            <w:r>
              <w:t>5</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3.</w:t>
            </w:r>
          </w:p>
        </w:tc>
        <w:tc>
          <w:tcPr>
            <w:tcW w:w="7050" w:type="dxa"/>
            <w:shd w:val="clear" w:color="000000" w:fill="auto"/>
          </w:tcPr>
          <w:p w:rsidR="00356C19" w:rsidRPr="00F33D3C" w:rsidRDefault="00F67EA9" w:rsidP="00356C19">
            <w:r w:rsidRPr="00F33D3C">
              <w:t>Требования, предъявляемые к участникам аукциона</w:t>
            </w:r>
          </w:p>
        </w:tc>
        <w:tc>
          <w:tcPr>
            <w:tcW w:w="1887" w:type="dxa"/>
            <w:shd w:val="clear" w:color="000000" w:fill="auto"/>
          </w:tcPr>
          <w:p w:rsidR="00356C19" w:rsidRPr="00F33D3C" w:rsidRDefault="0008362B" w:rsidP="00356C19">
            <w:r>
              <w:t>6</w:t>
            </w:r>
          </w:p>
        </w:tc>
      </w:tr>
      <w:tr w:rsidR="00F33D3C" w:rsidRPr="00F33D3C" w:rsidTr="0033411C">
        <w:trPr>
          <w:jc w:val="center"/>
        </w:trPr>
        <w:tc>
          <w:tcPr>
            <w:tcW w:w="634" w:type="dxa"/>
            <w:shd w:val="clear" w:color="000000" w:fill="auto"/>
          </w:tcPr>
          <w:p w:rsidR="00112DEB" w:rsidRPr="00F33D3C" w:rsidRDefault="00112DEB" w:rsidP="0033411C">
            <w:pPr>
              <w:jc w:val="center"/>
            </w:pPr>
            <w:r w:rsidRPr="00F33D3C">
              <w:t>4.</w:t>
            </w:r>
          </w:p>
        </w:tc>
        <w:tc>
          <w:tcPr>
            <w:tcW w:w="7050" w:type="dxa"/>
            <w:shd w:val="clear" w:color="000000" w:fill="auto"/>
          </w:tcPr>
          <w:p w:rsidR="00112DEB" w:rsidRPr="00F33D3C" w:rsidRDefault="00F67EA9" w:rsidP="0033411C">
            <w:r w:rsidRPr="00F33D3C">
              <w:t>Порядок подачи заявок на участие в аукционе и срок отзыва заявок</w:t>
            </w:r>
          </w:p>
        </w:tc>
        <w:tc>
          <w:tcPr>
            <w:tcW w:w="1887" w:type="dxa"/>
            <w:shd w:val="clear" w:color="000000" w:fill="auto"/>
          </w:tcPr>
          <w:p w:rsidR="00112DEB" w:rsidRPr="00F33D3C" w:rsidRDefault="006442C6" w:rsidP="0033411C">
            <w:r w:rsidRPr="00F33D3C">
              <w:t>7</w:t>
            </w:r>
          </w:p>
        </w:tc>
      </w:tr>
      <w:tr w:rsidR="00F33D3C" w:rsidRPr="00F33D3C" w:rsidTr="0033411C">
        <w:trPr>
          <w:jc w:val="center"/>
        </w:trPr>
        <w:tc>
          <w:tcPr>
            <w:tcW w:w="634" w:type="dxa"/>
            <w:shd w:val="clear" w:color="000000" w:fill="auto"/>
          </w:tcPr>
          <w:p w:rsidR="00112DEB" w:rsidRPr="00F33D3C" w:rsidRDefault="00112DEB" w:rsidP="0033411C">
            <w:pPr>
              <w:jc w:val="center"/>
            </w:pPr>
            <w:r w:rsidRPr="00F33D3C">
              <w:t>5.</w:t>
            </w:r>
          </w:p>
        </w:tc>
        <w:tc>
          <w:tcPr>
            <w:tcW w:w="7050" w:type="dxa"/>
            <w:shd w:val="clear" w:color="000000" w:fill="auto"/>
          </w:tcPr>
          <w:p w:rsidR="00112DEB" w:rsidRPr="00F33D3C" w:rsidRDefault="00436FAD" w:rsidP="0033411C">
            <w:r w:rsidRPr="00F33D3C">
              <w:t>Порядок внесения и возврата задатка</w:t>
            </w:r>
          </w:p>
        </w:tc>
        <w:tc>
          <w:tcPr>
            <w:tcW w:w="1887" w:type="dxa"/>
            <w:shd w:val="clear" w:color="000000" w:fill="auto"/>
          </w:tcPr>
          <w:p w:rsidR="00112DEB" w:rsidRPr="00F33D3C" w:rsidRDefault="0008362B" w:rsidP="0033411C">
            <w:r>
              <w:t>8</w:t>
            </w:r>
          </w:p>
        </w:tc>
      </w:tr>
      <w:tr w:rsidR="00F33D3C" w:rsidRPr="00F33D3C" w:rsidTr="0033411C">
        <w:trPr>
          <w:jc w:val="center"/>
        </w:trPr>
        <w:tc>
          <w:tcPr>
            <w:tcW w:w="634" w:type="dxa"/>
            <w:shd w:val="clear" w:color="000000" w:fill="auto"/>
          </w:tcPr>
          <w:p w:rsidR="00436FAD" w:rsidRPr="00F33D3C" w:rsidRDefault="00436FAD" w:rsidP="0033411C">
            <w:pPr>
              <w:jc w:val="center"/>
            </w:pPr>
            <w:r w:rsidRPr="00F33D3C">
              <w:t>6.</w:t>
            </w:r>
          </w:p>
        </w:tc>
        <w:tc>
          <w:tcPr>
            <w:tcW w:w="7050" w:type="dxa"/>
            <w:shd w:val="clear" w:color="000000" w:fill="auto"/>
          </w:tcPr>
          <w:p w:rsidR="00436FAD" w:rsidRPr="00F33D3C" w:rsidRDefault="00757318" w:rsidP="00436FAD">
            <w:r w:rsidRPr="00F33D3C">
              <w:t>Рассмотрение заявок. Условия допуска и отказа в допуске к участию в аукционе</w:t>
            </w:r>
          </w:p>
        </w:tc>
        <w:tc>
          <w:tcPr>
            <w:tcW w:w="1887" w:type="dxa"/>
            <w:shd w:val="clear" w:color="000000" w:fill="auto"/>
          </w:tcPr>
          <w:p w:rsidR="00436FAD" w:rsidRPr="00F33D3C" w:rsidRDefault="006442C6" w:rsidP="0008362B">
            <w:r w:rsidRPr="00F33D3C">
              <w:t>1</w:t>
            </w:r>
            <w:r w:rsidR="0008362B">
              <w:t>0</w:t>
            </w:r>
          </w:p>
        </w:tc>
      </w:tr>
      <w:tr w:rsidR="00F33D3C" w:rsidRPr="00F33D3C" w:rsidTr="0033411C">
        <w:trPr>
          <w:jc w:val="center"/>
        </w:trPr>
        <w:tc>
          <w:tcPr>
            <w:tcW w:w="634" w:type="dxa"/>
            <w:shd w:val="clear" w:color="000000" w:fill="auto"/>
          </w:tcPr>
          <w:p w:rsidR="00436FAD" w:rsidRPr="00F33D3C" w:rsidRDefault="00436FAD" w:rsidP="0033411C">
            <w:pPr>
              <w:jc w:val="center"/>
            </w:pPr>
            <w:r w:rsidRPr="00F33D3C">
              <w:t>7.</w:t>
            </w:r>
          </w:p>
        </w:tc>
        <w:tc>
          <w:tcPr>
            <w:tcW w:w="7050" w:type="dxa"/>
            <w:shd w:val="clear" w:color="000000" w:fill="auto"/>
          </w:tcPr>
          <w:p w:rsidR="00436FAD" w:rsidRPr="00F33D3C" w:rsidRDefault="00436FAD" w:rsidP="00436FAD">
            <w:r w:rsidRPr="00F33D3C">
              <w:t>Отмена и приостановление аукциона</w:t>
            </w:r>
          </w:p>
        </w:tc>
        <w:tc>
          <w:tcPr>
            <w:tcW w:w="1887" w:type="dxa"/>
            <w:shd w:val="clear" w:color="000000" w:fill="auto"/>
          </w:tcPr>
          <w:p w:rsidR="00436FAD" w:rsidRPr="00F33D3C" w:rsidRDefault="00436FAD" w:rsidP="0008362B">
            <w:r w:rsidRPr="00F33D3C">
              <w:t>1</w:t>
            </w:r>
            <w:r w:rsidR="0008362B">
              <w:t>1</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III.</w:t>
            </w:r>
          </w:p>
        </w:tc>
        <w:tc>
          <w:tcPr>
            <w:tcW w:w="8937" w:type="dxa"/>
            <w:gridSpan w:val="2"/>
            <w:shd w:val="clear" w:color="000000" w:fill="auto"/>
            <w:vAlign w:val="center"/>
          </w:tcPr>
          <w:p w:rsidR="00DE75F5" w:rsidRPr="00F33D3C" w:rsidRDefault="00356C19" w:rsidP="00DE75F5">
            <w:r w:rsidRPr="00F33D3C">
              <w:t>ПРОВЕДЕНИЕ АУКЦИОНА ПО ПРОДАЖЕ ИМУЩЕСТВА</w:t>
            </w:r>
          </w:p>
        </w:tc>
      </w:tr>
      <w:tr w:rsidR="00F33D3C" w:rsidRPr="00F33D3C" w:rsidTr="00356C19">
        <w:trPr>
          <w:jc w:val="center"/>
        </w:trPr>
        <w:tc>
          <w:tcPr>
            <w:tcW w:w="634" w:type="dxa"/>
            <w:shd w:val="clear" w:color="000000" w:fill="auto"/>
          </w:tcPr>
          <w:p w:rsidR="00356C19" w:rsidRPr="00F33D3C" w:rsidRDefault="00B74989" w:rsidP="00356C19">
            <w:pPr>
              <w:jc w:val="center"/>
            </w:pPr>
            <w:r w:rsidRPr="00F33D3C">
              <w:t>8</w:t>
            </w:r>
            <w:r w:rsidR="00356C19" w:rsidRPr="00F33D3C">
              <w:t>.</w:t>
            </w:r>
          </w:p>
        </w:tc>
        <w:tc>
          <w:tcPr>
            <w:tcW w:w="7050" w:type="dxa"/>
            <w:shd w:val="clear" w:color="000000" w:fill="auto"/>
          </w:tcPr>
          <w:p w:rsidR="00356C19" w:rsidRPr="00F33D3C" w:rsidRDefault="00356C19" w:rsidP="00356C19">
            <w:r w:rsidRPr="00F33D3C">
              <w:t>Порядок проведения аукциона</w:t>
            </w:r>
          </w:p>
        </w:tc>
        <w:tc>
          <w:tcPr>
            <w:tcW w:w="1887" w:type="dxa"/>
            <w:shd w:val="clear" w:color="000000" w:fill="auto"/>
          </w:tcPr>
          <w:p w:rsidR="00356C19" w:rsidRPr="00F33D3C" w:rsidRDefault="00B74989" w:rsidP="0008362B">
            <w:r w:rsidRPr="00F33D3C">
              <w:t>1</w:t>
            </w:r>
            <w:r w:rsidR="0008362B">
              <w:t>1</w:t>
            </w:r>
          </w:p>
        </w:tc>
      </w:tr>
      <w:tr w:rsidR="00F33D3C" w:rsidRPr="00F33D3C" w:rsidTr="00356C19">
        <w:trPr>
          <w:jc w:val="center"/>
        </w:trPr>
        <w:tc>
          <w:tcPr>
            <w:tcW w:w="634" w:type="dxa"/>
            <w:shd w:val="clear" w:color="000000" w:fill="auto"/>
          </w:tcPr>
          <w:p w:rsidR="00356C19" w:rsidRPr="00F33D3C" w:rsidRDefault="00B74989" w:rsidP="00356C19">
            <w:pPr>
              <w:jc w:val="center"/>
            </w:pPr>
            <w:r w:rsidRPr="00F33D3C">
              <w:t>9</w:t>
            </w:r>
            <w:r w:rsidR="00356C19" w:rsidRPr="00F33D3C">
              <w:t>.</w:t>
            </w:r>
          </w:p>
        </w:tc>
        <w:tc>
          <w:tcPr>
            <w:tcW w:w="7050" w:type="dxa"/>
            <w:shd w:val="clear" w:color="000000" w:fill="auto"/>
          </w:tcPr>
          <w:p w:rsidR="00356C19" w:rsidRPr="00F33D3C" w:rsidRDefault="00356C19" w:rsidP="00356C19">
            <w:r w:rsidRPr="00F33D3C">
              <w:t>Заключение договора купли-продажи по итогам проведения аукциона</w:t>
            </w:r>
          </w:p>
        </w:tc>
        <w:tc>
          <w:tcPr>
            <w:tcW w:w="1887" w:type="dxa"/>
            <w:shd w:val="clear" w:color="000000" w:fill="auto"/>
          </w:tcPr>
          <w:p w:rsidR="00356C19" w:rsidRPr="00F33D3C" w:rsidRDefault="00B74989" w:rsidP="0008362B">
            <w:r w:rsidRPr="00F33D3C">
              <w:t>1</w:t>
            </w:r>
            <w:r w:rsidR="0008362B">
              <w:t>2</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IV.</w:t>
            </w:r>
          </w:p>
        </w:tc>
        <w:tc>
          <w:tcPr>
            <w:tcW w:w="8937" w:type="dxa"/>
            <w:gridSpan w:val="2"/>
            <w:shd w:val="clear" w:color="000000" w:fill="auto"/>
            <w:vAlign w:val="center"/>
          </w:tcPr>
          <w:p w:rsidR="00356C19" w:rsidRPr="00F33D3C" w:rsidRDefault="00356C19" w:rsidP="00356C19">
            <w:r w:rsidRPr="00F33D3C">
              <w:t>ПРИЛОЖЕНИЯ</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1</w:t>
            </w:r>
          </w:p>
        </w:tc>
        <w:tc>
          <w:tcPr>
            <w:tcW w:w="7050" w:type="dxa"/>
            <w:shd w:val="clear" w:color="000000" w:fill="auto"/>
          </w:tcPr>
          <w:p w:rsidR="00356C19" w:rsidRPr="00F33D3C" w:rsidRDefault="00356C19" w:rsidP="00356C19">
            <w:r w:rsidRPr="00F33D3C">
              <w:t xml:space="preserve">Приложение 1  - форма заявки на участие в аукционе </w:t>
            </w:r>
          </w:p>
        </w:tc>
        <w:tc>
          <w:tcPr>
            <w:tcW w:w="1887" w:type="dxa"/>
            <w:shd w:val="clear" w:color="000000" w:fill="auto"/>
          </w:tcPr>
          <w:p w:rsidR="00356C19" w:rsidRPr="00F33D3C" w:rsidRDefault="009F50FD" w:rsidP="0008362B">
            <w:r w:rsidRPr="00F33D3C">
              <w:t>1</w:t>
            </w:r>
            <w:r w:rsidR="0008362B">
              <w:t>4</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2</w:t>
            </w:r>
          </w:p>
        </w:tc>
        <w:tc>
          <w:tcPr>
            <w:tcW w:w="7050" w:type="dxa"/>
            <w:shd w:val="clear" w:color="000000" w:fill="auto"/>
          </w:tcPr>
          <w:p w:rsidR="00356C19" w:rsidRPr="00F33D3C" w:rsidRDefault="00356C19" w:rsidP="00356C19">
            <w:r w:rsidRPr="00F33D3C">
              <w:t xml:space="preserve">Приложение 2  - проекты  договоров купли-продажи </w:t>
            </w:r>
          </w:p>
        </w:tc>
        <w:tc>
          <w:tcPr>
            <w:tcW w:w="1887" w:type="dxa"/>
            <w:shd w:val="clear" w:color="000000" w:fill="auto"/>
          </w:tcPr>
          <w:p w:rsidR="00356C19" w:rsidRPr="00F33D3C" w:rsidRDefault="00112DEB" w:rsidP="0008362B">
            <w:r w:rsidRPr="00F33D3C">
              <w:t>1</w:t>
            </w:r>
            <w:r w:rsidR="0008362B">
              <w:t>6</w:t>
            </w:r>
          </w:p>
        </w:tc>
      </w:tr>
    </w:tbl>
    <w:p w:rsidR="004C63BA" w:rsidRPr="005C1B71" w:rsidRDefault="004C63BA" w:rsidP="00384528">
      <w:pPr>
        <w:jc w:val="both"/>
        <w:rPr>
          <w:bCs/>
          <w:color w:val="C00000"/>
          <w:sz w:val="22"/>
          <w:szCs w:val="22"/>
        </w:rPr>
      </w:pPr>
    </w:p>
    <w:p w:rsidR="004C63BA" w:rsidRPr="005C1B71" w:rsidRDefault="004C63BA" w:rsidP="00384528">
      <w:pPr>
        <w:jc w:val="both"/>
        <w:rPr>
          <w:bCs/>
          <w:color w:val="C00000"/>
          <w:sz w:val="22"/>
          <w:szCs w:val="22"/>
        </w:rPr>
      </w:pPr>
    </w:p>
    <w:p w:rsidR="004C63BA" w:rsidRPr="005C1B71" w:rsidRDefault="004C63BA" w:rsidP="00384528">
      <w:pPr>
        <w:jc w:val="both"/>
        <w:rPr>
          <w:bCs/>
          <w:color w:val="C00000"/>
          <w:sz w:val="22"/>
          <w:szCs w:val="22"/>
        </w:rPr>
      </w:pPr>
    </w:p>
    <w:p w:rsidR="004C63BA" w:rsidRPr="005C1B71" w:rsidRDefault="004C63BA" w:rsidP="00384528">
      <w:pPr>
        <w:jc w:val="both"/>
        <w:rPr>
          <w:bCs/>
          <w:color w:val="C00000"/>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BB56AC" w:rsidRDefault="00BB56AC"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BB56AC" w:rsidRDefault="00356C19" w:rsidP="00356C19">
      <w:pPr>
        <w:pStyle w:val="a5"/>
        <w:numPr>
          <w:ilvl w:val="0"/>
          <w:numId w:val="2"/>
        </w:numPr>
        <w:ind w:left="851" w:hanging="567"/>
        <w:jc w:val="center"/>
        <w:rPr>
          <w:b/>
          <w:bCs/>
          <w:color w:val="C00000"/>
          <w:sz w:val="28"/>
          <w:szCs w:val="28"/>
        </w:rPr>
      </w:pPr>
      <w:r w:rsidRPr="0022646B">
        <w:rPr>
          <w:b/>
          <w:bCs/>
          <w:sz w:val="28"/>
          <w:szCs w:val="28"/>
        </w:rPr>
        <w:lastRenderedPageBreak/>
        <w:t xml:space="preserve">Информационное сообщение о </w:t>
      </w:r>
      <w:r w:rsidRPr="00860ECA">
        <w:rPr>
          <w:b/>
          <w:bCs/>
          <w:sz w:val="28"/>
          <w:szCs w:val="28"/>
        </w:rPr>
        <w:t xml:space="preserve">проведении  </w:t>
      </w:r>
      <w:r w:rsidR="00860ECA" w:rsidRPr="00860ECA">
        <w:rPr>
          <w:b/>
          <w:bCs/>
          <w:sz w:val="28"/>
          <w:szCs w:val="28"/>
        </w:rPr>
        <w:t>16 октября</w:t>
      </w:r>
      <w:r w:rsidR="00901972" w:rsidRPr="00860ECA">
        <w:rPr>
          <w:b/>
          <w:bCs/>
          <w:sz w:val="28"/>
          <w:szCs w:val="28"/>
        </w:rPr>
        <w:t xml:space="preserve"> </w:t>
      </w:r>
      <w:r w:rsidR="004E35BC" w:rsidRPr="00860ECA">
        <w:rPr>
          <w:b/>
          <w:bCs/>
          <w:sz w:val="28"/>
          <w:szCs w:val="28"/>
        </w:rPr>
        <w:t xml:space="preserve"> 2024</w:t>
      </w:r>
      <w:r w:rsidRPr="00860ECA">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860ECA" w:rsidRDefault="00CD677E" w:rsidP="00CD677E">
      <w:pPr>
        <w:contextualSpacing/>
        <w:jc w:val="both"/>
      </w:pPr>
      <w:r w:rsidRPr="0068474A">
        <w:t xml:space="preserve">Информация о проводимом аукционе размещена на официальном сайте Российской </w:t>
      </w:r>
      <w:r w:rsidRPr="00860616">
        <w:t xml:space="preserve">Федерации для размещения информации о проведении торгов – сайте </w:t>
      </w:r>
      <w:hyperlink r:id="rId10" w:history="1">
        <w:r w:rsidR="00B6095F" w:rsidRPr="00860616">
          <w:rPr>
            <w:rStyle w:val="aa"/>
            <w:color w:val="auto"/>
          </w:rPr>
          <w:t>www.torgi.gov.ru</w:t>
        </w:r>
      </w:hyperlink>
      <w:r w:rsidR="00B6095F" w:rsidRPr="00860616">
        <w:t xml:space="preserve"> </w:t>
      </w:r>
      <w:r w:rsidRPr="00860616">
        <w:t xml:space="preserve"> (номер извещения </w:t>
      </w:r>
      <w:r w:rsidRPr="00860ECA">
        <w:rPr>
          <w:b/>
        </w:rPr>
        <w:t>22000015660000000</w:t>
      </w:r>
      <w:r w:rsidR="00860ECA" w:rsidRPr="00860ECA">
        <w:rPr>
          <w:b/>
        </w:rPr>
        <w:t>311</w:t>
      </w:r>
      <w:r w:rsidR="00860616" w:rsidRPr="00860ECA">
        <w:rPr>
          <w:b/>
        </w:rPr>
        <w:t xml:space="preserve"> </w:t>
      </w:r>
      <w:r w:rsidR="000B3D8A" w:rsidRPr="00860ECA">
        <w:rPr>
          <w:b/>
        </w:rPr>
        <w:t xml:space="preserve"> </w:t>
      </w:r>
      <w:r w:rsidRPr="00860ECA">
        <w:t xml:space="preserve">от </w:t>
      </w:r>
      <w:r w:rsidR="00860ECA" w:rsidRPr="00860ECA">
        <w:t>12.09</w:t>
      </w:r>
      <w:r w:rsidR="00901972" w:rsidRPr="00860ECA">
        <w:t>.2024</w:t>
      </w:r>
      <w:r w:rsidR="00DE1EA9" w:rsidRPr="00860ECA">
        <w:t xml:space="preserve"> года</w:t>
      </w:r>
      <w:r w:rsidR="003317FB" w:rsidRPr="00860ECA">
        <w:t>)</w:t>
      </w:r>
      <w:r w:rsidRPr="00860ECA">
        <w:t xml:space="preserve">, </w:t>
      </w:r>
      <w:r w:rsidR="001F052D" w:rsidRPr="00860ECA">
        <w:t>на</w:t>
      </w:r>
      <w:r w:rsidR="001F052D" w:rsidRPr="00860616">
        <w:t xml:space="preserve"> электронной торговой площадке АО «Сбербанк-АСТ» (</w:t>
      </w:r>
      <w:hyperlink r:id="rId11" w:history="1">
        <w:r w:rsidR="001F052D" w:rsidRPr="00860616">
          <w:rPr>
            <w:rStyle w:val="aa"/>
            <w:color w:val="auto"/>
          </w:rPr>
          <w:t>https://utp.sberbank-ast.ru/</w:t>
        </w:r>
      </w:hyperlink>
      <w:r w:rsidR="001F052D" w:rsidRPr="00860616">
        <w:t xml:space="preserve">) и </w:t>
      </w:r>
      <w:r w:rsidRPr="00860616">
        <w:t xml:space="preserve">официальном сайте ГУП «ФЖС РБ» - </w:t>
      </w:r>
      <w:r w:rsidRPr="00860ECA">
        <w:t xml:space="preserve">www.fgsrb.ru (раздел – Аукционы).  </w:t>
      </w:r>
    </w:p>
    <w:p w:rsidR="00CD677E" w:rsidRPr="00860ECA" w:rsidRDefault="00CD677E" w:rsidP="00CD677E">
      <w:pPr>
        <w:tabs>
          <w:tab w:val="left" w:pos="426"/>
        </w:tabs>
        <w:spacing w:before="240" w:after="240"/>
        <w:contextualSpacing/>
        <w:jc w:val="both"/>
      </w:pPr>
    </w:p>
    <w:p w:rsidR="00CD677E" w:rsidRPr="00860ECA" w:rsidRDefault="00CD677E" w:rsidP="00CD677E">
      <w:pPr>
        <w:numPr>
          <w:ilvl w:val="1"/>
          <w:numId w:val="1"/>
        </w:numPr>
        <w:tabs>
          <w:tab w:val="left" w:pos="0"/>
        </w:tabs>
        <w:spacing w:before="240" w:after="240"/>
        <w:ind w:left="0" w:firstLine="0"/>
        <w:contextualSpacing/>
        <w:jc w:val="both"/>
      </w:pPr>
      <w:r w:rsidRPr="00860ECA">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860ECA">
        <w:t>№</w:t>
      </w:r>
      <w:r w:rsidR="00860ECA" w:rsidRPr="00860ECA">
        <w:t>1855 от 23.08.2024 года</w:t>
      </w:r>
      <w:r w:rsidRPr="00860ECA">
        <w:t xml:space="preserve"> и   утверждено Протоколом заседания аукционной комиссии ГУП «Фонд жилищного строительства РБ» №</w:t>
      </w:r>
      <w:r w:rsidR="00860ECA" w:rsidRPr="00860ECA">
        <w:t>95</w:t>
      </w:r>
      <w:r w:rsidR="0068474A" w:rsidRPr="00860ECA">
        <w:t xml:space="preserve"> от </w:t>
      </w:r>
      <w:r w:rsidR="00860ECA" w:rsidRPr="00860ECA">
        <w:t>10.09</w:t>
      </w:r>
      <w:r w:rsidR="00860616" w:rsidRPr="00860ECA">
        <w:t>.2024</w:t>
      </w:r>
      <w:r w:rsidR="0068474A" w:rsidRPr="00860ECA">
        <w:t xml:space="preserve"> года</w:t>
      </w:r>
      <w:r w:rsidRPr="00860ECA">
        <w:t>.</w:t>
      </w:r>
    </w:p>
    <w:p w:rsidR="00CD677E" w:rsidRPr="00860ECA" w:rsidRDefault="00CD677E" w:rsidP="00CD677E">
      <w:pPr>
        <w:contextualSpacing/>
      </w:pPr>
    </w:p>
    <w:p w:rsidR="00BB56AC" w:rsidRPr="00860ECA" w:rsidRDefault="00CD677E" w:rsidP="00BB56AC">
      <w:pPr>
        <w:jc w:val="both"/>
        <w:rPr>
          <w:bCs/>
        </w:rPr>
      </w:pPr>
      <w:r w:rsidRPr="00860ECA">
        <w:t xml:space="preserve"> </w:t>
      </w:r>
      <w:r w:rsidR="00DA107F" w:rsidRPr="00860ECA">
        <w:t xml:space="preserve">1.5. </w:t>
      </w:r>
      <w:r w:rsidRPr="00860ECA">
        <w:rPr>
          <w:bCs/>
        </w:rPr>
        <w:t xml:space="preserve">На продажу на аукционе выставляется Имущество: </w:t>
      </w:r>
    </w:p>
    <w:p w:rsidR="00BB56AC" w:rsidRDefault="00BB56AC" w:rsidP="00F33D3C">
      <w:pPr>
        <w:ind w:firstLine="426"/>
        <w:jc w:val="both"/>
        <w:rPr>
          <w:b/>
        </w:rPr>
      </w:pPr>
      <w:r w:rsidRPr="00614339">
        <w:rPr>
          <w:b/>
        </w:rPr>
        <w:t xml:space="preserve">нежилое помещение, </w:t>
      </w:r>
      <w:r w:rsidRPr="00BB56AC">
        <w:t>расположенное по адресу</w:t>
      </w:r>
      <w:r w:rsidRPr="00614339">
        <w:rPr>
          <w:b/>
        </w:rPr>
        <w:t xml:space="preserve">: Республика Башкортостан, г.Уфа, Орджоникидзевский район, </w:t>
      </w:r>
      <w:proofErr w:type="spellStart"/>
      <w:r w:rsidRPr="00614339">
        <w:rPr>
          <w:b/>
        </w:rPr>
        <w:t>ул.Блюхера</w:t>
      </w:r>
      <w:proofErr w:type="spellEnd"/>
      <w:r w:rsidRPr="00614339">
        <w:rPr>
          <w:b/>
        </w:rPr>
        <w:t xml:space="preserve"> д.3/6 пом. 229,  площадью 225,6 </w:t>
      </w:r>
      <w:proofErr w:type="spellStart"/>
      <w:r w:rsidRPr="00614339">
        <w:rPr>
          <w:b/>
        </w:rPr>
        <w:t>кв.м</w:t>
      </w:r>
      <w:proofErr w:type="spellEnd"/>
      <w:r w:rsidRPr="00614339">
        <w:rPr>
          <w:b/>
        </w:rPr>
        <w:t>. с черновой отделкой, этаж – 1, кадастровый номер 02:55:020216:2632</w:t>
      </w:r>
      <w:r>
        <w:rPr>
          <w:b/>
        </w:rPr>
        <w:t>.</w:t>
      </w:r>
    </w:p>
    <w:p w:rsidR="00BB56AC" w:rsidRDefault="00BB56AC" w:rsidP="00BB56AC">
      <w:pPr>
        <w:jc w:val="both"/>
        <w:rPr>
          <w:b/>
        </w:rPr>
      </w:pPr>
    </w:p>
    <w:p w:rsidR="003C098E" w:rsidRPr="0068474A" w:rsidRDefault="003C098E" w:rsidP="00BB56AC">
      <w:pPr>
        <w:ind w:firstLine="567"/>
        <w:jc w:val="both"/>
      </w:pPr>
      <w:r w:rsidRPr="00807A99">
        <w:rPr>
          <w:b/>
        </w:rPr>
        <w:t>Начальная цена продажи Имущества</w:t>
      </w:r>
      <w:r w:rsidRPr="00807A99">
        <w:t xml:space="preserve">: </w:t>
      </w:r>
      <w:r w:rsidR="00BB56AC" w:rsidRPr="00BB56AC">
        <w:rPr>
          <w:b/>
        </w:rPr>
        <w:t>15 812 000,00 (пятнадцать миллионов восемьсот двенадцать тысяч)  рублей</w:t>
      </w:r>
      <w:r w:rsidRPr="0068474A">
        <w:t>.</w:t>
      </w:r>
    </w:p>
    <w:p w:rsidR="003C098E" w:rsidRDefault="003C098E" w:rsidP="003C098E">
      <w:pPr>
        <w:pStyle w:val="a5"/>
        <w:tabs>
          <w:tab w:val="left" w:pos="0"/>
        </w:tabs>
        <w:ind w:left="0" w:firstLine="567"/>
        <w:jc w:val="both"/>
      </w:pPr>
      <w:r>
        <w:rPr>
          <w:b/>
        </w:rPr>
        <w:t>Ш</w:t>
      </w:r>
      <w:r w:rsidRPr="00807A99">
        <w:rPr>
          <w:b/>
        </w:rPr>
        <w:t xml:space="preserve">аг аукциона </w:t>
      </w:r>
      <w:r>
        <w:rPr>
          <w:b/>
        </w:rPr>
        <w:t xml:space="preserve">– </w:t>
      </w:r>
      <w:r w:rsidR="00BB56AC">
        <w:rPr>
          <w:b/>
        </w:rPr>
        <w:t>790 600,00</w:t>
      </w:r>
      <w:r>
        <w:rPr>
          <w:b/>
        </w:rPr>
        <w:t xml:space="preserve"> </w:t>
      </w:r>
      <w:r w:rsidRPr="00807A99">
        <w:t xml:space="preserve">рублей (5% от начальной цены продажи имущества). </w:t>
      </w:r>
    </w:p>
    <w:p w:rsidR="003C098E" w:rsidRDefault="003C098E" w:rsidP="003C098E">
      <w:pPr>
        <w:pStyle w:val="a5"/>
        <w:tabs>
          <w:tab w:val="left" w:pos="0"/>
        </w:tabs>
        <w:ind w:left="0" w:firstLine="567"/>
        <w:jc w:val="both"/>
        <w:rPr>
          <w:b/>
        </w:rPr>
      </w:pPr>
      <w:r w:rsidRPr="00AB19B9">
        <w:rPr>
          <w:b/>
        </w:rPr>
        <w:t>Задаток за участие в аукционе – 10 000,00 (десять тысяч) рублей.</w:t>
      </w:r>
    </w:p>
    <w:p w:rsidR="00BB56AC" w:rsidRPr="00AB19B9" w:rsidRDefault="00BB56AC" w:rsidP="003C098E">
      <w:pPr>
        <w:pStyle w:val="a5"/>
        <w:tabs>
          <w:tab w:val="left" w:pos="0"/>
        </w:tabs>
        <w:ind w:left="0" w:firstLine="567"/>
        <w:jc w:val="both"/>
        <w:rPr>
          <w:b/>
        </w:rPr>
      </w:pPr>
    </w:p>
    <w:p w:rsidR="00BB56AC" w:rsidRPr="00BB56AC" w:rsidRDefault="00BB56AC" w:rsidP="00BB56AC">
      <w:pPr>
        <w:tabs>
          <w:tab w:val="left" w:pos="567"/>
        </w:tabs>
        <w:spacing w:line="276" w:lineRule="auto"/>
        <w:ind w:firstLine="567"/>
        <w:contextualSpacing/>
        <w:jc w:val="both"/>
        <w:rPr>
          <w:bCs/>
        </w:rPr>
      </w:pPr>
      <w:r w:rsidRPr="00BB56AC">
        <w:rPr>
          <w:bCs/>
        </w:rPr>
        <w:t xml:space="preserve">Описание объекта:  назначение – фитнесс-клуб. Основная площадь 131,7 </w:t>
      </w:r>
      <w:proofErr w:type="spellStart"/>
      <w:r w:rsidRPr="00BB56AC">
        <w:rPr>
          <w:bCs/>
        </w:rPr>
        <w:t>кв.м</w:t>
      </w:r>
      <w:proofErr w:type="spellEnd"/>
      <w:r w:rsidRPr="00BB56AC">
        <w:rPr>
          <w:bCs/>
        </w:rPr>
        <w:t xml:space="preserve">.: тренажерная – 93,7 </w:t>
      </w:r>
      <w:proofErr w:type="spellStart"/>
      <w:r w:rsidRPr="00BB56AC">
        <w:rPr>
          <w:bCs/>
        </w:rPr>
        <w:t>кв.м</w:t>
      </w:r>
      <w:proofErr w:type="spellEnd"/>
      <w:r w:rsidRPr="00BB56AC">
        <w:rPr>
          <w:bCs/>
        </w:rPr>
        <w:t xml:space="preserve">., тренерская – 13,9 </w:t>
      </w:r>
      <w:proofErr w:type="spellStart"/>
      <w:r w:rsidRPr="00BB56AC">
        <w:rPr>
          <w:bCs/>
        </w:rPr>
        <w:t>кв.м</w:t>
      </w:r>
      <w:proofErr w:type="spellEnd"/>
      <w:r w:rsidRPr="00BB56AC">
        <w:rPr>
          <w:bCs/>
        </w:rPr>
        <w:t xml:space="preserve">., инвентарная – 13,1 </w:t>
      </w:r>
      <w:proofErr w:type="spellStart"/>
      <w:r w:rsidRPr="00BB56AC">
        <w:rPr>
          <w:bCs/>
        </w:rPr>
        <w:t>кв.м</w:t>
      </w:r>
      <w:proofErr w:type="spellEnd"/>
      <w:r w:rsidRPr="00BB56AC">
        <w:rPr>
          <w:bCs/>
        </w:rPr>
        <w:t xml:space="preserve">., раздевалка – 6,0 </w:t>
      </w:r>
      <w:proofErr w:type="spellStart"/>
      <w:r w:rsidRPr="00BB56AC">
        <w:rPr>
          <w:bCs/>
        </w:rPr>
        <w:t>кв.м</w:t>
      </w:r>
      <w:proofErr w:type="spellEnd"/>
      <w:r w:rsidRPr="00BB56AC">
        <w:rPr>
          <w:bCs/>
        </w:rPr>
        <w:t xml:space="preserve">., комната персонала – 5,0 </w:t>
      </w:r>
      <w:proofErr w:type="spellStart"/>
      <w:r w:rsidRPr="00BB56AC">
        <w:rPr>
          <w:bCs/>
        </w:rPr>
        <w:t>кв.м</w:t>
      </w:r>
      <w:proofErr w:type="spellEnd"/>
      <w:r w:rsidRPr="00BB56AC">
        <w:rPr>
          <w:bCs/>
        </w:rPr>
        <w:t xml:space="preserve">.; вспомогательная площадь  - 93,9 </w:t>
      </w:r>
      <w:proofErr w:type="spellStart"/>
      <w:r w:rsidRPr="00BB56AC">
        <w:rPr>
          <w:bCs/>
        </w:rPr>
        <w:t>кв.м</w:t>
      </w:r>
      <w:proofErr w:type="spellEnd"/>
      <w:r w:rsidRPr="00BB56AC">
        <w:rPr>
          <w:bCs/>
        </w:rPr>
        <w:t xml:space="preserve">.: коридор – 70,6 </w:t>
      </w:r>
      <w:proofErr w:type="spellStart"/>
      <w:r w:rsidRPr="00BB56AC">
        <w:rPr>
          <w:bCs/>
        </w:rPr>
        <w:t>кв.м</w:t>
      </w:r>
      <w:proofErr w:type="spellEnd"/>
      <w:r w:rsidRPr="00BB56AC">
        <w:rPr>
          <w:bCs/>
        </w:rPr>
        <w:t>., 3 санузла, 3 душевые, узел управления, кладовая. Высота – 3, 25м.</w:t>
      </w:r>
    </w:p>
    <w:p w:rsidR="00BB56AC" w:rsidRDefault="00BB56AC" w:rsidP="00BB56AC">
      <w:pPr>
        <w:tabs>
          <w:tab w:val="left" w:pos="567"/>
        </w:tabs>
        <w:spacing w:line="276" w:lineRule="auto"/>
        <w:ind w:firstLine="567"/>
        <w:contextualSpacing/>
        <w:jc w:val="both"/>
        <w:rPr>
          <w:bCs/>
        </w:rPr>
      </w:pPr>
      <w:r w:rsidRPr="00BB56AC">
        <w:rPr>
          <w:bCs/>
        </w:rPr>
        <w:t>Отделка – черновая: пол  - бетонные, потолок – без отделки, стены – штукатурка, окна – пластиковые; дверь входная – металлическая. Нежилое помещение находится на первом  этаже 26-этажного жилого дома 2022 года постройки. Имеется отдельная входная группа, территория благоустроена, имеются парковочные места в пешей доступности.</w:t>
      </w:r>
    </w:p>
    <w:p w:rsidR="00E449F1" w:rsidRPr="00860ECA" w:rsidRDefault="00860ECA" w:rsidP="00E449F1">
      <w:pPr>
        <w:tabs>
          <w:tab w:val="left" w:pos="0"/>
        </w:tabs>
        <w:spacing w:line="276" w:lineRule="auto"/>
        <w:ind w:firstLine="567"/>
        <w:contextualSpacing/>
        <w:jc w:val="both"/>
      </w:pPr>
      <w:r w:rsidRPr="003E6DD7">
        <w:rPr>
          <w:b/>
        </w:rPr>
        <w:t>Ограничения, обременения права</w:t>
      </w:r>
      <w:r w:rsidRPr="00860ECA">
        <w:t xml:space="preserve">  </w:t>
      </w:r>
      <w:r w:rsidRPr="003E6DD7">
        <w:rPr>
          <w:b/>
        </w:rPr>
        <w:t>на объект</w:t>
      </w:r>
      <w:r w:rsidRPr="00860ECA">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6F76F3" w:rsidRPr="00512949" w:rsidRDefault="006F76F3" w:rsidP="006F76F3">
      <w:pPr>
        <w:tabs>
          <w:tab w:val="left" w:pos="567"/>
        </w:tabs>
        <w:contextualSpacing/>
        <w:jc w:val="both"/>
        <w:rPr>
          <w:bCs/>
        </w:rPr>
      </w:pPr>
      <w:r>
        <w:lastRenderedPageBreak/>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F829D4">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A03D9" w:rsidRPr="005A03D9" w:rsidRDefault="005A03D9" w:rsidP="005A03D9">
      <w:pPr>
        <w:suppressAutoHyphens/>
        <w:spacing w:line="276" w:lineRule="auto"/>
        <w:ind w:firstLine="567"/>
        <w:jc w:val="both"/>
        <w:rPr>
          <w:bCs/>
        </w:rPr>
      </w:pPr>
      <w:r w:rsidRPr="005A03D9">
        <w:rPr>
          <w:bCs/>
        </w:rPr>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Pr="00860ECA" w:rsidRDefault="005A03D9" w:rsidP="005A03D9">
      <w:pPr>
        <w:suppressAutoHyphens/>
        <w:spacing w:line="276" w:lineRule="auto"/>
        <w:ind w:firstLine="567"/>
        <w:jc w:val="both"/>
        <w:rPr>
          <w:bCs/>
        </w:rPr>
      </w:pPr>
      <w:r w:rsidRPr="00860ECA">
        <w:rPr>
          <w:bCs/>
        </w:rPr>
        <w:t>Средства, полученные от реализации имущества</w:t>
      </w:r>
      <w:r w:rsidR="00374AB4" w:rsidRPr="00860ECA">
        <w:rPr>
          <w:bCs/>
        </w:rPr>
        <w:t xml:space="preserve"> с обременением</w:t>
      </w:r>
      <w:r w:rsidRPr="00860ECA">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A03D9" w:rsidRPr="004E35BC" w:rsidRDefault="005A03D9" w:rsidP="005A03D9">
      <w:pPr>
        <w:suppressAutoHyphens/>
        <w:spacing w:line="276" w:lineRule="auto"/>
        <w:ind w:firstLine="567"/>
        <w:jc w:val="both"/>
      </w:pPr>
    </w:p>
    <w:p w:rsidR="00CB06A0" w:rsidRPr="000C06D0" w:rsidRDefault="00CB06A0" w:rsidP="00CB06A0">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CB06A0" w:rsidRPr="000C06D0" w:rsidRDefault="00CB06A0" w:rsidP="00CB06A0">
      <w:pPr>
        <w:tabs>
          <w:tab w:val="left" w:pos="0"/>
        </w:tabs>
        <w:spacing w:after="240"/>
        <w:ind w:left="567"/>
        <w:contextualSpacing/>
        <w:jc w:val="both"/>
        <w:rPr>
          <w:b/>
        </w:rPr>
      </w:pPr>
    </w:p>
    <w:p w:rsidR="00CB06A0" w:rsidRPr="000C06D0" w:rsidRDefault="00CB06A0" w:rsidP="00CB06A0">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сообщении – </w:t>
      </w:r>
      <w:r w:rsidRPr="000C06D0">
        <w:rPr>
          <w:b/>
        </w:rPr>
        <w:t xml:space="preserve">МОСКОВСКОЕ </w:t>
      </w:r>
      <w:r w:rsidRPr="000C06D0">
        <w:t>(сервера электронной площадки</w:t>
      </w:r>
      <w:r w:rsidRPr="000C06D0">
        <w:rPr>
          <w:b/>
        </w:rPr>
        <w:t xml:space="preserve">).  </w:t>
      </w:r>
    </w:p>
    <w:p w:rsidR="00CB06A0" w:rsidRPr="000C06D0" w:rsidRDefault="00CB06A0" w:rsidP="00CB06A0">
      <w:pPr>
        <w:tabs>
          <w:tab w:val="left" w:pos="426"/>
        </w:tabs>
        <w:spacing w:after="240"/>
        <w:contextualSpacing/>
        <w:jc w:val="both"/>
      </w:pPr>
    </w:p>
    <w:p w:rsidR="00CB06A0" w:rsidRPr="000C06D0" w:rsidRDefault="00CB06A0" w:rsidP="00CB06A0">
      <w:pPr>
        <w:numPr>
          <w:ilvl w:val="1"/>
          <w:numId w:val="1"/>
        </w:numPr>
        <w:tabs>
          <w:tab w:val="left" w:pos="567"/>
        </w:tabs>
        <w:spacing w:after="240"/>
        <w:ind w:left="0" w:firstLine="0"/>
        <w:contextualSpacing/>
        <w:jc w:val="both"/>
      </w:pPr>
      <w:r w:rsidRPr="000C06D0">
        <w:t xml:space="preserve">Начало приема заявок на участие в аукционе –  </w:t>
      </w:r>
      <w:r w:rsidR="003935D4">
        <w:rPr>
          <w:b/>
        </w:rPr>
        <w:t>13.09</w:t>
      </w:r>
      <w:r w:rsidRPr="000C06D0">
        <w:rPr>
          <w:b/>
        </w:rPr>
        <w:t>.2024 года</w:t>
      </w:r>
      <w:r w:rsidRPr="000C06D0">
        <w:t xml:space="preserve"> </w:t>
      </w:r>
      <w:r w:rsidRPr="00112DD4">
        <w:rPr>
          <w:b/>
        </w:rPr>
        <w:t>с 08.00 местного времени</w:t>
      </w:r>
      <w:r>
        <w:t xml:space="preserve"> </w:t>
      </w:r>
      <w:r w:rsidRPr="00112DD4">
        <w:rPr>
          <w:b/>
        </w:rPr>
        <w:t>(с</w:t>
      </w:r>
      <w:r>
        <w:t xml:space="preserve"> </w:t>
      </w:r>
      <w:r>
        <w:rPr>
          <w:b/>
        </w:rPr>
        <w:t xml:space="preserve">06.00 часов </w:t>
      </w:r>
      <w:r w:rsidRPr="000C06D0">
        <w:rPr>
          <w:b/>
        </w:rPr>
        <w:t>МСК).</w:t>
      </w:r>
    </w:p>
    <w:p w:rsidR="00CB06A0" w:rsidRPr="000C06D0" w:rsidRDefault="00CB06A0" w:rsidP="00CB06A0">
      <w:pPr>
        <w:ind w:left="720"/>
        <w:contextualSpacing/>
      </w:pPr>
    </w:p>
    <w:p w:rsidR="00CB06A0" w:rsidRPr="000C06D0" w:rsidRDefault="00CB06A0" w:rsidP="00CB06A0">
      <w:pPr>
        <w:numPr>
          <w:ilvl w:val="1"/>
          <w:numId w:val="1"/>
        </w:numPr>
        <w:tabs>
          <w:tab w:val="left" w:pos="426"/>
        </w:tabs>
        <w:spacing w:after="240"/>
        <w:ind w:left="0" w:firstLine="0"/>
        <w:contextualSpacing/>
        <w:jc w:val="both"/>
      </w:pPr>
      <w:r w:rsidRPr="000C06D0">
        <w:t xml:space="preserve">Окончание приема заявок на участие в аукционе – </w:t>
      </w:r>
      <w:r w:rsidRPr="000C06D0">
        <w:rPr>
          <w:b/>
        </w:rPr>
        <w:t xml:space="preserve">14.10.2024 года в </w:t>
      </w:r>
      <w:r>
        <w:rPr>
          <w:b/>
        </w:rPr>
        <w:t>14.00 местного времени (</w:t>
      </w:r>
      <w:r w:rsidR="00D87708">
        <w:rPr>
          <w:b/>
        </w:rPr>
        <w:t xml:space="preserve">в </w:t>
      </w:r>
      <w:bookmarkStart w:id="0" w:name="_GoBack"/>
      <w:bookmarkEnd w:id="0"/>
      <w:r w:rsidRPr="000C06D0">
        <w:rPr>
          <w:b/>
        </w:rPr>
        <w:t>1</w:t>
      </w:r>
      <w:r>
        <w:rPr>
          <w:b/>
        </w:rPr>
        <w:t>2</w:t>
      </w:r>
      <w:r w:rsidRPr="000C06D0">
        <w:rPr>
          <w:b/>
        </w:rPr>
        <w:t>.00 час</w:t>
      </w:r>
      <w:r>
        <w:rPr>
          <w:b/>
        </w:rPr>
        <w:t xml:space="preserve">ов </w:t>
      </w:r>
      <w:r w:rsidRPr="000C06D0">
        <w:rPr>
          <w:b/>
        </w:rPr>
        <w:t>МСК).</w:t>
      </w:r>
    </w:p>
    <w:p w:rsidR="00CB06A0" w:rsidRPr="000C06D0" w:rsidRDefault="00CB06A0" w:rsidP="00CB06A0">
      <w:pPr>
        <w:ind w:left="720"/>
        <w:contextualSpacing/>
      </w:pPr>
    </w:p>
    <w:p w:rsidR="00CB06A0" w:rsidRPr="000C06D0" w:rsidRDefault="00CB06A0" w:rsidP="00CB06A0">
      <w:pPr>
        <w:numPr>
          <w:ilvl w:val="1"/>
          <w:numId w:val="1"/>
        </w:numPr>
        <w:tabs>
          <w:tab w:val="left" w:pos="426"/>
        </w:tabs>
        <w:spacing w:after="240"/>
        <w:ind w:left="0" w:firstLine="0"/>
        <w:contextualSpacing/>
        <w:jc w:val="both"/>
      </w:pPr>
      <w:r w:rsidRPr="000C06D0">
        <w:t xml:space="preserve"> Дата  рассмотрения заявок на участие в аукционе – </w:t>
      </w:r>
      <w:r w:rsidRPr="000C06D0">
        <w:rPr>
          <w:b/>
        </w:rPr>
        <w:t xml:space="preserve">15.10.2024 года, </w:t>
      </w:r>
      <w:r w:rsidRPr="000C06D0">
        <w:t xml:space="preserve">адрес: г.Уфа, </w:t>
      </w:r>
      <w:proofErr w:type="spellStart"/>
      <w:r w:rsidRPr="000C06D0">
        <w:t>ул.Ленина</w:t>
      </w:r>
      <w:proofErr w:type="spellEnd"/>
      <w:r w:rsidRPr="000C06D0">
        <w:t xml:space="preserve"> д.5/3 каб.223.</w:t>
      </w:r>
    </w:p>
    <w:p w:rsidR="00CB06A0" w:rsidRPr="000C06D0" w:rsidRDefault="00CB06A0" w:rsidP="00CB06A0">
      <w:pPr>
        <w:tabs>
          <w:tab w:val="left" w:pos="426"/>
        </w:tabs>
        <w:spacing w:after="240"/>
        <w:contextualSpacing/>
        <w:jc w:val="both"/>
      </w:pPr>
    </w:p>
    <w:p w:rsidR="00CB06A0" w:rsidRPr="000C06D0" w:rsidRDefault="00CB06A0" w:rsidP="00CB06A0">
      <w:pPr>
        <w:numPr>
          <w:ilvl w:val="1"/>
          <w:numId w:val="1"/>
        </w:numPr>
        <w:tabs>
          <w:tab w:val="left" w:pos="426"/>
        </w:tabs>
        <w:spacing w:after="240"/>
        <w:ind w:left="0" w:firstLine="0"/>
        <w:contextualSpacing/>
        <w:jc w:val="both"/>
        <w:rPr>
          <w:b/>
        </w:rPr>
      </w:pPr>
      <w:r w:rsidRPr="000C06D0">
        <w:rPr>
          <w:b/>
        </w:rPr>
        <w:t xml:space="preserve">Дата проведение аукциона – 16 октября 2024 года  </w:t>
      </w:r>
      <w:r w:rsidRPr="00112DD4">
        <w:rPr>
          <w:b/>
        </w:rPr>
        <w:t>в 12.00 местного времени</w:t>
      </w:r>
      <w:r>
        <w:rPr>
          <w:b/>
        </w:rPr>
        <w:t xml:space="preserve"> (</w:t>
      </w:r>
      <w:r w:rsidRPr="000C06D0">
        <w:rPr>
          <w:b/>
        </w:rPr>
        <w:t>10.00 часов МСК) (на электронной площадке https://www.sberbank-ast.ru/ в сети Интернет (торговая секция «Приватизация, аренда и продажа прав»).</w:t>
      </w:r>
    </w:p>
    <w:p w:rsidR="00CB06A0" w:rsidRPr="000C06D0" w:rsidRDefault="00CB06A0" w:rsidP="00CB06A0">
      <w:pPr>
        <w:ind w:firstLine="993"/>
        <w:contextualSpacing/>
      </w:pPr>
    </w:p>
    <w:p w:rsidR="00CB06A0" w:rsidRPr="000C06D0" w:rsidRDefault="00CB06A0" w:rsidP="00CB06A0">
      <w:pPr>
        <w:numPr>
          <w:ilvl w:val="1"/>
          <w:numId w:val="1"/>
        </w:numPr>
        <w:tabs>
          <w:tab w:val="left" w:pos="0"/>
        </w:tabs>
        <w:spacing w:after="240"/>
        <w:ind w:left="0" w:firstLine="0"/>
        <w:contextualSpacing/>
        <w:jc w:val="both"/>
      </w:pPr>
      <w:r w:rsidRPr="000C06D0">
        <w:t xml:space="preserve">Подведение итогов аукциона (срок и место) – 16.10.2024 года по адресу: г.Уфа, </w:t>
      </w:r>
      <w:proofErr w:type="spellStart"/>
      <w:r w:rsidRPr="000C06D0">
        <w:t>ул.Ленина</w:t>
      </w:r>
      <w:proofErr w:type="spellEnd"/>
      <w:r w:rsidRPr="000C06D0">
        <w:t xml:space="preserve"> д.5/3, каб.223.</w:t>
      </w:r>
    </w:p>
    <w:p w:rsidR="00CB06A0" w:rsidRPr="000C06D0" w:rsidRDefault="00CB06A0" w:rsidP="00CB06A0">
      <w:pPr>
        <w:tabs>
          <w:tab w:val="left" w:pos="0"/>
        </w:tabs>
        <w:spacing w:after="240"/>
        <w:contextualSpacing/>
        <w:jc w:val="both"/>
      </w:pPr>
      <w:r w:rsidRPr="000C06D0">
        <w:t>Аукцион проводится открытый по составу участников и форме подачи предложений в электронной форме.</w:t>
      </w:r>
    </w:p>
    <w:p w:rsidR="00BB56AC" w:rsidRDefault="00BB56AC" w:rsidP="003A24D8">
      <w:pPr>
        <w:tabs>
          <w:tab w:val="left" w:pos="0"/>
        </w:tabs>
        <w:spacing w:after="240"/>
        <w:contextualSpacing/>
        <w:jc w:val="both"/>
      </w:pPr>
    </w:p>
    <w:p w:rsidR="00BB56AC" w:rsidRDefault="00BB56AC"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 электронной площадки.</w:t>
      </w:r>
    </w:p>
    <w:p w:rsidR="002543EC"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B56AC" w:rsidRPr="00676277" w:rsidRDefault="00BB56A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позднее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Осмотр объектов осуществляется с даты начала приема заявок по рабочим дням с 08.30 до 17.30,   но не позднее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860ECA" w:rsidRDefault="00860ECA" w:rsidP="002543EC">
      <w:pPr>
        <w:spacing w:after="240"/>
        <w:contextualSpacing/>
        <w:jc w:val="both"/>
      </w:pP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4. Порядок подачи заявок на участие в аукционе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2543EC" w:rsidRDefault="002543EC" w:rsidP="002543EC">
      <w:pPr>
        <w:spacing w:after="240"/>
        <w:contextualSpacing/>
        <w:jc w:val="both"/>
      </w:pPr>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w:t>
      </w:r>
      <w:r>
        <w:lastRenderedPageBreak/>
        <w:t>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r w:rsidRPr="002D5E85">
        <w:rPr>
          <w:b/>
        </w:rPr>
        <w:t xml:space="preserve">г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 (или) документов на Официальным сайтом торгов (www.torgi.gov.ru). </w:t>
      </w:r>
    </w:p>
    <w:p w:rsidR="002543EC" w:rsidRPr="00A34372" w:rsidRDefault="002543EC" w:rsidP="002543EC">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отношении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lastRenderedPageBreak/>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w:t>
      </w:r>
      <w:r>
        <w:lastRenderedPageBreak/>
        <w:t xml:space="preserve">(задаток)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ам в течение 5 (пяти) рабочих дней с даты размещения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lastRenderedPageBreak/>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несостоявшимся.</w:t>
      </w:r>
    </w:p>
    <w:p w:rsidR="00BB56AC" w:rsidRDefault="00BB56A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w:t>
      </w:r>
      <w:r w:rsidRPr="00096C5A">
        <w:rPr>
          <w:rFonts w:eastAsiaTheme="minorHAnsi"/>
          <w:lang w:eastAsia="en-US"/>
        </w:rPr>
        <w:lastRenderedPageBreak/>
        <w:t>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признании аукциона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lastRenderedPageBreak/>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Pr="00BB56AC" w:rsidRDefault="00BB56AC" w:rsidP="00BB56AC">
      <w:pPr>
        <w:rPr>
          <w:lang w:eastAsia="en-US"/>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B0E6D">
              <w:rPr>
                <w:color w:val="000000"/>
              </w:rPr>
            </w:r>
            <w:r w:rsidR="009B0E6D">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B0E6D">
              <w:rPr>
                <w:color w:val="000000"/>
              </w:rPr>
            </w:r>
            <w:r w:rsidR="009B0E6D">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E32082">
        <w:rPr>
          <w:sz w:val="23"/>
          <w:szCs w:val="23"/>
        </w:rPr>
        <w:t>4</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9B0E6D"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E32082">
        <w:rPr>
          <w:bCs/>
          <w:sz w:val="23"/>
          <w:szCs w:val="23"/>
        </w:rPr>
        <w:t>4</w:t>
      </w:r>
      <w:r w:rsidR="008F0646" w:rsidRPr="005732A3">
        <w:rPr>
          <w:bCs/>
          <w:sz w:val="23"/>
          <w:szCs w:val="23"/>
        </w:rPr>
        <w:t xml:space="preserve"> года  заседания  аукционной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w:t>
      </w:r>
      <w:r w:rsidR="00BB56AC">
        <w:rPr>
          <w:bCs/>
          <w:sz w:val="23"/>
          <w:szCs w:val="23"/>
        </w:rPr>
        <w:t>не</w:t>
      </w:r>
      <w:r w:rsidR="008F0646" w:rsidRPr="005732A3">
        <w:rPr>
          <w:bCs/>
          <w:sz w:val="23"/>
          <w:szCs w:val="23"/>
        </w:rPr>
        <w:t>жил</w:t>
      </w:r>
      <w:r w:rsidR="00BB56AC">
        <w:rPr>
          <w:bCs/>
          <w:sz w:val="23"/>
          <w:szCs w:val="23"/>
        </w:rPr>
        <w:t>ого</w:t>
      </w:r>
      <w:r w:rsidR="008F0646" w:rsidRPr="005732A3">
        <w:rPr>
          <w:bCs/>
          <w:sz w:val="23"/>
          <w:szCs w:val="23"/>
        </w:rPr>
        <w:t xml:space="preserve"> помещени</w:t>
      </w:r>
      <w:r w:rsidR="00BB56AC">
        <w:rPr>
          <w:bCs/>
          <w:sz w:val="23"/>
          <w:szCs w:val="23"/>
        </w:rPr>
        <w:t>я</w:t>
      </w:r>
      <w:r w:rsidR="008F0646" w:rsidRPr="005732A3">
        <w:rPr>
          <w:bCs/>
          <w:sz w:val="23"/>
          <w:szCs w:val="23"/>
        </w:rPr>
        <w:t>, расположенн</w:t>
      </w:r>
      <w:r w:rsidR="00BB56AC">
        <w:rPr>
          <w:bCs/>
          <w:sz w:val="23"/>
          <w:szCs w:val="23"/>
        </w:rPr>
        <w:t>ого</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r w:rsidR="005A2099">
        <w:rPr>
          <w:bCs/>
          <w:sz w:val="23"/>
          <w:szCs w:val="23"/>
        </w:rPr>
        <w:t>Блюхера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BB56AC">
      <w:pPr>
        <w:numPr>
          <w:ilvl w:val="1"/>
          <w:numId w:val="5"/>
        </w:numPr>
        <w:ind w:left="0" w:firstLine="426"/>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w:t>
      </w:r>
      <w:r w:rsidR="00BB56AC">
        <w:rPr>
          <w:b/>
          <w:sz w:val="23"/>
          <w:szCs w:val="23"/>
        </w:rPr>
        <w:t>не</w:t>
      </w:r>
      <w:r w:rsidRPr="00135658">
        <w:rPr>
          <w:b/>
          <w:sz w:val="23"/>
          <w:szCs w:val="23"/>
        </w:rPr>
        <w:t xml:space="preserve">жилое помещение общей  площадью </w:t>
      </w:r>
      <w:r w:rsidR="00BB56AC">
        <w:rPr>
          <w:b/>
          <w:sz w:val="23"/>
          <w:szCs w:val="23"/>
        </w:rPr>
        <w:t>225,6</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ул.Блюхера</w:t>
      </w:r>
      <w:proofErr w:type="spellEnd"/>
      <w:r w:rsidRPr="00135658">
        <w:rPr>
          <w:b/>
          <w:sz w:val="23"/>
          <w:szCs w:val="23"/>
        </w:rPr>
        <w:t xml:space="preserve"> д.3/6 </w:t>
      </w:r>
      <w:r w:rsidR="00BB56AC">
        <w:rPr>
          <w:b/>
          <w:sz w:val="23"/>
          <w:szCs w:val="23"/>
        </w:rPr>
        <w:t>помещение №229</w:t>
      </w:r>
      <w:r w:rsidRPr="00135658">
        <w:rPr>
          <w:b/>
          <w:sz w:val="23"/>
          <w:szCs w:val="23"/>
        </w:rPr>
        <w:t xml:space="preserve">, этаж </w:t>
      </w:r>
      <w:r w:rsidR="00BB56AC">
        <w:rPr>
          <w:b/>
          <w:sz w:val="23"/>
          <w:szCs w:val="23"/>
        </w:rPr>
        <w:t>1</w:t>
      </w:r>
      <w:r w:rsidRPr="00135658">
        <w:rPr>
          <w:b/>
          <w:sz w:val="23"/>
          <w:szCs w:val="23"/>
        </w:rPr>
        <w:t xml:space="preserve">,  кадастровый номер – </w:t>
      </w:r>
      <w:r w:rsidR="00BB56AC" w:rsidRPr="00BB56AC">
        <w:rPr>
          <w:b/>
          <w:sz w:val="23"/>
          <w:szCs w:val="23"/>
        </w:rPr>
        <w:t xml:space="preserve">02:55:020216:2632 </w:t>
      </w:r>
      <w:r w:rsidRPr="00135658">
        <w:rPr>
          <w:sz w:val="23"/>
          <w:szCs w:val="23"/>
        </w:rPr>
        <w:t>(далее – Объект).</w:t>
      </w:r>
    </w:p>
    <w:p w:rsidR="00A045F8" w:rsidRPr="00135658" w:rsidRDefault="00A045F8" w:rsidP="00A045F8">
      <w:pPr>
        <w:ind w:firstLine="568"/>
        <w:contextualSpacing/>
        <w:jc w:val="both"/>
        <w:rPr>
          <w:sz w:val="23"/>
          <w:szCs w:val="23"/>
        </w:rPr>
      </w:pPr>
      <w:r w:rsidRPr="00135658">
        <w:rPr>
          <w:sz w:val="23"/>
          <w:szCs w:val="23"/>
        </w:rPr>
        <w:t xml:space="preserve">Указанное </w:t>
      </w:r>
      <w:r w:rsidR="00BB56AC">
        <w:rPr>
          <w:sz w:val="23"/>
          <w:szCs w:val="23"/>
        </w:rPr>
        <w:t>не</w:t>
      </w:r>
      <w:r w:rsidRPr="00135658">
        <w:rPr>
          <w:sz w:val="23"/>
          <w:szCs w:val="23"/>
        </w:rPr>
        <w:t>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w:t>
      </w:r>
      <w:r w:rsidR="00BB56AC">
        <w:rPr>
          <w:sz w:val="23"/>
          <w:szCs w:val="23"/>
        </w:rPr>
        <w:t>2632</w:t>
      </w:r>
      <w:r w:rsidRPr="00135658">
        <w:rPr>
          <w:sz w:val="23"/>
          <w:szCs w:val="23"/>
        </w:rPr>
        <w:t>-02/372/202</w:t>
      </w:r>
      <w:r w:rsidR="00BB56AC">
        <w:rPr>
          <w:sz w:val="23"/>
          <w:szCs w:val="23"/>
        </w:rPr>
        <w:t>4</w:t>
      </w:r>
      <w:r w:rsidRPr="00135658">
        <w:rPr>
          <w:sz w:val="23"/>
          <w:szCs w:val="23"/>
        </w:rPr>
        <w:t xml:space="preserve">-1 от </w:t>
      </w:r>
      <w:r w:rsidR="00BB56AC">
        <w:rPr>
          <w:sz w:val="23"/>
          <w:szCs w:val="23"/>
        </w:rPr>
        <w:t>17.04</w:t>
      </w:r>
      <w:r w:rsidRPr="00135658">
        <w:rPr>
          <w:sz w:val="23"/>
          <w:szCs w:val="23"/>
        </w:rPr>
        <w:t>.202</w:t>
      </w:r>
      <w:r w:rsidR="0046646D">
        <w:rPr>
          <w:sz w:val="23"/>
          <w:szCs w:val="23"/>
        </w:rPr>
        <w:t>4</w:t>
      </w:r>
      <w:r w:rsidRPr="00135658">
        <w:rPr>
          <w:sz w:val="23"/>
          <w:szCs w:val="23"/>
        </w:rPr>
        <w:t>г.</w:t>
      </w:r>
    </w:p>
    <w:p w:rsidR="009D229F" w:rsidRDefault="009D229F" w:rsidP="009D229F">
      <w:pPr>
        <w:pStyle w:val="a5"/>
        <w:ind w:left="0" w:firstLine="426"/>
        <w:rPr>
          <w:sz w:val="23"/>
          <w:szCs w:val="23"/>
        </w:rPr>
      </w:pPr>
      <w:r w:rsidRPr="009D229F">
        <w:rPr>
          <w:sz w:val="23"/>
          <w:szCs w:val="23"/>
        </w:rPr>
        <w:t>2.2. 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B7734D" w:rsidRDefault="00B7734D" w:rsidP="009D229F">
      <w:pPr>
        <w:pStyle w:val="a5"/>
        <w:ind w:left="0" w:firstLine="426"/>
        <w:jc w:val="center"/>
        <w:rPr>
          <w:b/>
          <w:sz w:val="23"/>
          <w:szCs w:val="23"/>
        </w:rPr>
      </w:pPr>
      <w:r>
        <w:rPr>
          <w:b/>
          <w:sz w:val="23"/>
          <w:szCs w:val="23"/>
        </w:rPr>
        <w:t>3.</w:t>
      </w:r>
      <w:r w:rsidRPr="009D300F">
        <w:rPr>
          <w:b/>
          <w:sz w:val="23"/>
          <w:szCs w:val="23"/>
        </w:rPr>
        <w:t>Плата по договору</w:t>
      </w:r>
    </w:p>
    <w:p w:rsidR="009D229F" w:rsidRPr="005732A3" w:rsidRDefault="009D229F" w:rsidP="009D229F">
      <w:pPr>
        <w:pStyle w:val="a5"/>
        <w:ind w:left="0" w:firstLine="426"/>
        <w:jc w:val="center"/>
        <w:rPr>
          <w:bCs/>
          <w:sz w:val="23"/>
          <w:szCs w:val="23"/>
        </w:rPr>
      </w:pP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sidR="009D229F">
        <w:rPr>
          <w:b/>
          <w:sz w:val="23"/>
          <w:szCs w:val="23"/>
        </w:rPr>
        <w:t>_________________________, в том числе НДС.</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r w:rsidRPr="00C570BC">
        <w:rPr>
          <w:sz w:val="23"/>
          <w:szCs w:val="23"/>
        </w:rPr>
        <w:t>р/счет______________________________ в Банке________________</w:t>
      </w:r>
    </w:p>
    <w:p w:rsidR="00B7734D" w:rsidRPr="00C570BC" w:rsidRDefault="00B7734D" w:rsidP="00B7734D">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229F" w:rsidRDefault="009D229F" w:rsidP="00B7734D">
      <w:pPr>
        <w:ind w:right="45"/>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26ADB" w:rsidP="00826ADB">
      <w:pPr>
        <w:tabs>
          <w:tab w:val="left" w:pos="7512"/>
        </w:tabs>
        <w:ind w:right="45" w:firstLine="567"/>
        <w:jc w:val="both"/>
        <w:rPr>
          <w:sz w:val="23"/>
          <w:szCs w:val="23"/>
        </w:rPr>
      </w:pPr>
      <w:r>
        <w:rPr>
          <w:sz w:val="23"/>
          <w:szCs w:val="23"/>
        </w:rPr>
        <w:tab/>
      </w: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p w:rsidR="0089156A" w:rsidRDefault="0089156A" w:rsidP="00627B32">
      <w:pPr>
        <w:contextualSpacing/>
        <w:jc w:val="center"/>
        <w:rPr>
          <w:b/>
          <w:sz w:val="23"/>
          <w:szCs w:val="23"/>
        </w:rPr>
      </w:pPr>
    </w:p>
    <w:sectPr w:rsidR="0089156A"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6D" w:rsidRDefault="009B0E6D" w:rsidP="004C63BA">
      <w:r>
        <w:separator/>
      </w:r>
    </w:p>
  </w:endnote>
  <w:endnote w:type="continuationSeparator" w:id="0">
    <w:p w:rsidR="009B0E6D" w:rsidRDefault="009B0E6D"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860616" w:rsidRDefault="00860616">
        <w:pPr>
          <w:pStyle w:val="a8"/>
          <w:jc w:val="center"/>
        </w:pPr>
        <w:r>
          <w:fldChar w:fldCharType="begin"/>
        </w:r>
        <w:r>
          <w:instrText>PAGE   \* MERGEFORMAT</w:instrText>
        </w:r>
        <w:r>
          <w:fldChar w:fldCharType="separate"/>
        </w:r>
        <w:r w:rsidR="00D87708">
          <w:rPr>
            <w:noProof/>
          </w:rPr>
          <w:t>4</w:t>
        </w:r>
        <w:r>
          <w:rPr>
            <w:noProof/>
          </w:rPr>
          <w:fldChar w:fldCharType="end"/>
        </w:r>
      </w:p>
    </w:sdtContent>
  </w:sdt>
  <w:p w:rsidR="00860616" w:rsidRDefault="008606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6D" w:rsidRDefault="009B0E6D" w:rsidP="004C63BA">
      <w:r>
        <w:separator/>
      </w:r>
    </w:p>
  </w:footnote>
  <w:footnote w:type="continuationSeparator" w:id="0">
    <w:p w:rsidR="009B0E6D" w:rsidRDefault="009B0E6D"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BF3AAF44"/>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362B"/>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6B2C"/>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5D4"/>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3410"/>
    <w:rsid w:val="003D4576"/>
    <w:rsid w:val="003D5E82"/>
    <w:rsid w:val="003E01FC"/>
    <w:rsid w:val="003E2084"/>
    <w:rsid w:val="003E6DD7"/>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46D"/>
    <w:rsid w:val="004665D9"/>
    <w:rsid w:val="0046773B"/>
    <w:rsid w:val="0047059C"/>
    <w:rsid w:val="00472377"/>
    <w:rsid w:val="00472C30"/>
    <w:rsid w:val="00472CA4"/>
    <w:rsid w:val="004740B0"/>
    <w:rsid w:val="0047412E"/>
    <w:rsid w:val="00477D08"/>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4F6CD7"/>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202B"/>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1B71"/>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5C5"/>
    <w:rsid w:val="00607E4B"/>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492"/>
    <w:rsid w:val="00767588"/>
    <w:rsid w:val="00770EE8"/>
    <w:rsid w:val="0077431C"/>
    <w:rsid w:val="00774D47"/>
    <w:rsid w:val="00774EDD"/>
    <w:rsid w:val="00775E2B"/>
    <w:rsid w:val="007767AC"/>
    <w:rsid w:val="00777655"/>
    <w:rsid w:val="00777AE5"/>
    <w:rsid w:val="00780FFC"/>
    <w:rsid w:val="0078104F"/>
    <w:rsid w:val="0078362C"/>
    <w:rsid w:val="00792137"/>
    <w:rsid w:val="00792CA7"/>
    <w:rsid w:val="007948A4"/>
    <w:rsid w:val="00795888"/>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ADB"/>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0ECA"/>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370D"/>
    <w:rsid w:val="009A7AE8"/>
    <w:rsid w:val="009B0AC7"/>
    <w:rsid w:val="009B0E6D"/>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29F"/>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DE1"/>
    <w:rsid w:val="00BB025E"/>
    <w:rsid w:val="00BB0506"/>
    <w:rsid w:val="00BB0E8F"/>
    <w:rsid w:val="00BB1A4D"/>
    <w:rsid w:val="00BB3317"/>
    <w:rsid w:val="00BB3505"/>
    <w:rsid w:val="00BB3F38"/>
    <w:rsid w:val="00BB4C09"/>
    <w:rsid w:val="00BB569F"/>
    <w:rsid w:val="00BB56AC"/>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6A0"/>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87708"/>
    <w:rsid w:val="00D903B7"/>
    <w:rsid w:val="00D90538"/>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17B"/>
    <w:rsid w:val="00E52B1F"/>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3D3C"/>
    <w:rsid w:val="00F345A7"/>
    <w:rsid w:val="00F44488"/>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6659-DCDD-4DB7-BBD5-914A76DC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18</Pages>
  <Words>6867</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1015</cp:revision>
  <cp:lastPrinted>2020-06-03T06:15:00Z</cp:lastPrinted>
  <dcterms:created xsi:type="dcterms:W3CDTF">2016-09-27T07:20:00Z</dcterms:created>
  <dcterms:modified xsi:type="dcterms:W3CDTF">2024-09-13T04:56:00Z</dcterms:modified>
</cp:coreProperties>
</file>