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BC061A">
                    <w:rPr>
                      <w:rFonts w:eastAsia="MS Mincho"/>
                    </w:rPr>
                    <w:t>13</w:t>
                  </w:r>
                  <w:r w:rsidR="006E5A5A">
                    <w:rPr>
                      <w:rFonts w:eastAsia="MS Mincho"/>
                    </w:rPr>
                    <w:t xml:space="preserve"> ноября</w:t>
                  </w:r>
                  <w:r w:rsidR="006D4E3E" w:rsidRPr="006D4E3E">
                    <w:rPr>
                      <w:rFonts w:eastAsia="MS Mincho"/>
                    </w:rPr>
                    <w:t xml:space="preserve"> </w:t>
                  </w:r>
                  <w:r w:rsidR="00026358" w:rsidRPr="006D4E3E">
                    <w:rPr>
                      <w:rFonts w:eastAsia="MS Mincho"/>
                    </w:rPr>
                    <w:t xml:space="preserve"> 2019 года №</w:t>
                  </w:r>
                  <w:r w:rsidR="006E5A5A">
                    <w:rPr>
                      <w:rFonts w:eastAsia="MS Mincho"/>
                    </w:rPr>
                    <w:t>1</w:t>
                  </w:r>
                  <w:r w:rsidR="00BC061A">
                    <w:rPr>
                      <w:rFonts w:eastAsia="MS Mincho"/>
                    </w:rPr>
                    <w:t>51</w:t>
                  </w:r>
                  <w:r w:rsidR="00BF6488">
                    <w:rPr>
                      <w:rFonts w:eastAsia="MS Mincho"/>
                    </w:rPr>
                    <w:t xml:space="preserve">, </w:t>
                  </w:r>
                </w:p>
                <w:p w:rsidR="00BF6488" w:rsidRDefault="00BF6488" w:rsidP="008E46B7">
                  <w:pPr>
                    <w:autoSpaceDE w:val="0"/>
                    <w:autoSpaceDN w:val="0"/>
                    <w:adjustRightInd w:val="0"/>
                    <w:jc w:val="both"/>
                    <w:rPr>
                      <w:rFonts w:eastAsia="MS Mincho"/>
                    </w:rPr>
                  </w:pPr>
                  <w:r>
                    <w:rPr>
                      <w:rFonts w:eastAsia="MS Mincho"/>
                    </w:rPr>
                    <w:t xml:space="preserve">от  </w:t>
                  </w:r>
                  <w:r w:rsidR="00515847">
                    <w:rPr>
                      <w:rFonts w:eastAsia="MS Mincho"/>
                    </w:rPr>
                    <w:t xml:space="preserve"> 22</w:t>
                  </w:r>
                  <w:r>
                    <w:rPr>
                      <w:rFonts w:eastAsia="MS Mincho"/>
                    </w:rPr>
                    <w:t xml:space="preserve"> </w:t>
                  </w:r>
                  <w:r w:rsidR="00515847">
                    <w:rPr>
                      <w:rFonts w:eastAsia="MS Mincho"/>
                    </w:rPr>
                    <w:t>января 2020</w:t>
                  </w:r>
                  <w:r>
                    <w:rPr>
                      <w:rFonts w:eastAsia="MS Mincho"/>
                    </w:rPr>
                    <w:t xml:space="preserve"> года №15</w:t>
                  </w:r>
                  <w:r w:rsidR="00515847">
                    <w:rPr>
                      <w:rFonts w:eastAsia="MS Mincho"/>
                    </w:rPr>
                    <w:t xml:space="preserve">4                                  </w:t>
                  </w:r>
                </w:p>
                <w:p w:rsidR="008E46B7" w:rsidRPr="006D4E3E" w:rsidRDefault="008E46B7" w:rsidP="00BC061A">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E5A5A" w:rsidRDefault="00380952" w:rsidP="006E5A5A">
      <w:pPr>
        <w:pStyle w:val="a5"/>
        <w:spacing w:line="360" w:lineRule="auto"/>
        <w:ind w:left="0"/>
        <w:jc w:val="center"/>
        <w:rPr>
          <w:b/>
          <w:bCs/>
          <w:sz w:val="28"/>
          <w:szCs w:val="28"/>
        </w:rPr>
      </w:pPr>
      <w:r>
        <w:rPr>
          <w:b/>
          <w:bCs/>
          <w:sz w:val="28"/>
          <w:szCs w:val="28"/>
        </w:rPr>
        <w:t>гаражного бокса</w:t>
      </w:r>
      <w:r w:rsidR="006E5A5A">
        <w:rPr>
          <w:b/>
          <w:bCs/>
          <w:sz w:val="28"/>
          <w:szCs w:val="28"/>
        </w:rPr>
        <w:t>,  расположенного по адресу:</w:t>
      </w:r>
    </w:p>
    <w:p w:rsidR="00926A54" w:rsidRDefault="00380952" w:rsidP="00380952">
      <w:pPr>
        <w:pStyle w:val="a5"/>
        <w:spacing w:line="360" w:lineRule="auto"/>
        <w:ind w:left="0"/>
        <w:jc w:val="center"/>
        <w:rPr>
          <w:b/>
          <w:bCs/>
          <w:sz w:val="26"/>
          <w:szCs w:val="26"/>
        </w:rPr>
      </w:pPr>
      <w:proofErr w:type="spellStart"/>
      <w:r w:rsidRPr="00380952">
        <w:rPr>
          <w:b/>
          <w:bCs/>
          <w:sz w:val="28"/>
          <w:szCs w:val="28"/>
        </w:rPr>
        <w:t>г</w:t>
      </w:r>
      <w:proofErr w:type="gramStart"/>
      <w:r w:rsidRPr="00380952">
        <w:rPr>
          <w:b/>
          <w:bCs/>
          <w:sz w:val="28"/>
          <w:szCs w:val="28"/>
        </w:rPr>
        <w:t>.У</w:t>
      </w:r>
      <w:proofErr w:type="gramEnd"/>
      <w:r w:rsidRPr="00380952">
        <w:rPr>
          <w:b/>
          <w:bCs/>
          <w:sz w:val="28"/>
          <w:szCs w:val="28"/>
        </w:rPr>
        <w:t>фа</w:t>
      </w:r>
      <w:proofErr w:type="spellEnd"/>
      <w:r w:rsidRPr="00380952">
        <w:rPr>
          <w:b/>
          <w:bCs/>
          <w:sz w:val="28"/>
          <w:szCs w:val="28"/>
        </w:rPr>
        <w:t xml:space="preserve">, Советский  район, проспект Салавата </w:t>
      </w:r>
      <w:proofErr w:type="spellStart"/>
      <w:r w:rsidRPr="00380952">
        <w:rPr>
          <w:b/>
          <w:bCs/>
          <w:sz w:val="28"/>
          <w:szCs w:val="28"/>
        </w:rPr>
        <w:t>Юлаева</w:t>
      </w:r>
      <w:proofErr w:type="spellEnd"/>
      <w:r w:rsidRPr="00380952">
        <w:rPr>
          <w:b/>
          <w:bCs/>
          <w:sz w:val="28"/>
          <w:szCs w:val="28"/>
        </w:rPr>
        <w:t xml:space="preserve"> д.59а</w:t>
      </w:r>
    </w:p>
    <w:p w:rsidR="00707568" w:rsidRPr="00F82FAF" w:rsidRDefault="00707568"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201</w:t>
      </w:r>
      <w:r w:rsidR="008E46B7" w:rsidRPr="008E46B7">
        <w:rPr>
          <w:b/>
          <w:bCs/>
          <w:sz w:val="22"/>
          <w:szCs w:val="22"/>
        </w:rPr>
        <w:t>9</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Pr="00F82FAF" w:rsidRDefault="00D02EBC"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BC1D7B">
        <w:rPr>
          <w:b/>
          <w:bCs/>
          <w:sz w:val="28"/>
          <w:szCs w:val="28"/>
        </w:rPr>
        <w:t>02 марта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C81BFD" w:rsidRPr="00C81BFD">
        <w:rPr>
          <w:b/>
          <w:bCs/>
        </w:rPr>
        <w:t>нежил</w:t>
      </w:r>
      <w:r w:rsidR="00C81BFD">
        <w:rPr>
          <w:b/>
          <w:bCs/>
        </w:rPr>
        <w:t>ое</w:t>
      </w:r>
      <w:r w:rsidR="00C81BFD" w:rsidRPr="00C81BFD">
        <w:rPr>
          <w:b/>
          <w:bCs/>
        </w:rPr>
        <w:t xml:space="preserve"> помещени</w:t>
      </w:r>
      <w:r w:rsidR="00C81BFD">
        <w:rPr>
          <w:b/>
          <w:bCs/>
        </w:rPr>
        <w:t>е</w:t>
      </w:r>
      <w:r w:rsidR="00C81BFD" w:rsidRPr="00C81BFD">
        <w:rPr>
          <w:b/>
          <w:bCs/>
        </w:rPr>
        <w:t xml:space="preserve"> (гаражн</w:t>
      </w:r>
      <w:r w:rsidR="00C81BFD">
        <w:rPr>
          <w:b/>
          <w:bCs/>
        </w:rPr>
        <w:t>ый</w:t>
      </w:r>
      <w:r w:rsidR="00C81BFD" w:rsidRPr="00C81BFD">
        <w:rPr>
          <w:b/>
          <w:bCs/>
        </w:rPr>
        <w:t xml:space="preserve">  бокс) №104 площадью 17,6 </w:t>
      </w:r>
      <w:proofErr w:type="spellStart"/>
      <w:r w:rsidR="00C81BFD" w:rsidRPr="00C81BFD">
        <w:rPr>
          <w:b/>
          <w:bCs/>
        </w:rPr>
        <w:t>кв.м</w:t>
      </w:r>
      <w:proofErr w:type="spellEnd"/>
      <w:r w:rsidR="00C81BFD" w:rsidRPr="00C81BFD">
        <w:rPr>
          <w:b/>
          <w:bCs/>
        </w:rPr>
        <w:t>., расположенн</w:t>
      </w:r>
      <w:r w:rsidR="00C81BFD">
        <w:rPr>
          <w:b/>
          <w:bCs/>
        </w:rPr>
        <w:t>ый</w:t>
      </w:r>
      <w:r w:rsidR="00C81BFD" w:rsidRPr="00C81BFD">
        <w:rPr>
          <w:b/>
          <w:bCs/>
        </w:rPr>
        <w:t xml:space="preserve"> на 4 этаже отдельно стоящего четырехэтажного нежилого строения Потребительского гаражного кооператива «Опора» по адресу: </w:t>
      </w:r>
      <w:proofErr w:type="spellStart"/>
      <w:r w:rsidR="00C81BFD" w:rsidRPr="00C81BFD">
        <w:rPr>
          <w:b/>
          <w:bCs/>
        </w:rPr>
        <w:t>г</w:t>
      </w:r>
      <w:proofErr w:type="gramStart"/>
      <w:r w:rsidR="00C81BFD" w:rsidRPr="00C81BFD">
        <w:rPr>
          <w:b/>
          <w:bCs/>
        </w:rPr>
        <w:t>.У</w:t>
      </w:r>
      <w:proofErr w:type="gramEnd"/>
      <w:r w:rsidR="00C81BFD" w:rsidRPr="00C81BFD">
        <w:rPr>
          <w:b/>
          <w:bCs/>
        </w:rPr>
        <w:t>фа</w:t>
      </w:r>
      <w:proofErr w:type="spellEnd"/>
      <w:r w:rsidR="00C81BFD" w:rsidRPr="00C81BFD">
        <w:rPr>
          <w:b/>
          <w:bCs/>
        </w:rPr>
        <w:t xml:space="preserve">, Советский  район, проспект Салавата </w:t>
      </w:r>
      <w:proofErr w:type="spellStart"/>
      <w:r w:rsidR="00C81BFD" w:rsidRPr="00C81BFD">
        <w:rPr>
          <w:b/>
          <w:bCs/>
        </w:rPr>
        <w:t>Юлаева</w:t>
      </w:r>
      <w:proofErr w:type="spellEnd"/>
      <w:r w:rsidR="00C81BFD" w:rsidRPr="00C81BFD">
        <w:rPr>
          <w:b/>
          <w:bCs/>
        </w:rPr>
        <w:t xml:space="preserve"> д.59а  (кадастровый номер – 02:55:010609:323).</w:t>
      </w:r>
      <w:r w:rsidRPr="00AC0FE8">
        <w:rPr>
          <w:bCs/>
        </w:rPr>
        <w:t xml:space="preserve"> </w:t>
      </w:r>
    </w:p>
    <w:p w:rsidR="004E6293" w:rsidRDefault="004E6293" w:rsidP="000965F8">
      <w:pPr>
        <w:spacing w:line="276" w:lineRule="auto"/>
        <w:ind w:firstLine="567"/>
        <w:jc w:val="both"/>
        <w:rPr>
          <w:b/>
        </w:rPr>
      </w:pPr>
    </w:p>
    <w:p w:rsidR="00C81BFD" w:rsidRDefault="000965F8" w:rsidP="00E726C3">
      <w:pPr>
        <w:spacing w:line="276" w:lineRule="auto"/>
        <w:ind w:firstLine="567"/>
        <w:jc w:val="both"/>
      </w:pPr>
      <w:proofErr w:type="gramStart"/>
      <w:r w:rsidRPr="00E726C3">
        <w:t>Описание объекта:</w:t>
      </w:r>
      <w:r w:rsidR="00E726C3">
        <w:t xml:space="preserve">  </w:t>
      </w:r>
      <w:r w:rsidR="00C81BFD">
        <w:t>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rsidR="00C81BFD">
        <w:t xml:space="preserve"> Состояние – хорошее.</w:t>
      </w:r>
    </w:p>
    <w:p w:rsidR="000965F8" w:rsidRDefault="00C81BFD" w:rsidP="0000044C">
      <w:pPr>
        <w:suppressAutoHyphens/>
        <w:ind w:firstLine="567"/>
        <w:jc w:val="both"/>
      </w:pPr>
      <w:r>
        <w:t xml:space="preserve">Объект расположен на пересечении улиц Владивостокская  и проспекта </w:t>
      </w:r>
      <w:proofErr w:type="spellStart"/>
      <w:r>
        <w:t>С.Юлаева</w:t>
      </w:r>
      <w:proofErr w:type="spellEnd"/>
      <w:r>
        <w:t xml:space="preserve"> </w:t>
      </w:r>
      <w:proofErr w:type="spellStart"/>
      <w:r>
        <w:t>г</w:t>
      </w:r>
      <w:proofErr w:type="gramStart"/>
      <w:r>
        <w:t>.У</w:t>
      </w:r>
      <w:proofErr w:type="gramEnd"/>
      <w:r>
        <w:t>фы</w:t>
      </w:r>
      <w:proofErr w:type="spellEnd"/>
      <w:r>
        <w:t xml:space="preserve">, в 100м от проспекта </w:t>
      </w:r>
      <w:proofErr w:type="spellStart"/>
      <w:r>
        <w:t>С.Юлаева</w:t>
      </w:r>
      <w:proofErr w:type="spellEnd"/>
      <w:r>
        <w:t xml:space="preserve">, в 200м  - от проезжей части </w:t>
      </w:r>
      <w:proofErr w:type="spellStart"/>
      <w:r>
        <w:t>ул.Кирова</w:t>
      </w:r>
      <w:proofErr w:type="spellEnd"/>
      <w:r>
        <w:t xml:space="preserve">. Хорошая транспортная доступность, быстрый выезд на проспект </w:t>
      </w:r>
      <w:proofErr w:type="spellStart"/>
      <w:r>
        <w:t>С.Юлаева</w:t>
      </w:r>
      <w:proofErr w:type="spellEnd"/>
      <w:r>
        <w:t>.</w:t>
      </w:r>
    </w:p>
    <w:p w:rsidR="00A77536" w:rsidRDefault="00A77536" w:rsidP="000965F8">
      <w:pPr>
        <w:pStyle w:val="ac"/>
        <w:ind w:firstLine="567"/>
        <w:jc w:val="both"/>
        <w:rPr>
          <w:rFonts w:ascii="Times New Roman" w:hAnsi="Times New Roman"/>
          <w:bCs/>
          <w:sz w:val="24"/>
          <w:szCs w:val="24"/>
        </w:rPr>
      </w:pP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№1532</w:t>
      </w:r>
      <w:r w:rsidR="00026358" w:rsidRPr="00026358">
        <w:t xml:space="preserve"> от </w:t>
      </w:r>
      <w:r w:rsidR="0049715F">
        <w:t>0</w:t>
      </w:r>
      <w:r w:rsidR="00E726C3">
        <w:t>6</w:t>
      </w:r>
      <w:r w:rsidR="0049715F">
        <w:t>.11</w:t>
      </w:r>
      <w:r w:rsidR="00026358" w:rsidRPr="00026358">
        <w:t>.2019</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15</w:t>
      </w:r>
      <w:r w:rsidR="0045129E">
        <w:t>4</w:t>
      </w:r>
      <w:r w:rsidR="009B1823">
        <w:t xml:space="preserve"> от </w:t>
      </w:r>
      <w:r w:rsidR="0045129E">
        <w:t>22.01.2020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Pr="00627635">
        <w:t>торги, объявленные на 16.12.19г,</w:t>
      </w:r>
      <w:r w:rsidR="007C2F3B">
        <w:t xml:space="preserve"> 24.01.2020г</w:t>
      </w:r>
      <w:bookmarkStart w:id="0" w:name="_GoBack"/>
      <w:bookmarkEnd w:id="0"/>
      <w:r w:rsidRPr="00627635">
        <w:t xml:space="preserve"> признаны несостоявшимися в связи с отсутствием заявок.</w:t>
      </w:r>
    </w:p>
    <w:p w:rsidR="00BB704A" w:rsidRDefault="00BB704A" w:rsidP="00BB704A">
      <w:pPr>
        <w:pStyle w:val="a5"/>
        <w:suppressAutoHyphens/>
        <w:ind w:left="0"/>
        <w:jc w:val="both"/>
      </w:pPr>
    </w:p>
    <w:p w:rsidR="00E726C3" w:rsidRPr="00195A41" w:rsidRDefault="00F73966" w:rsidP="00195A41">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1D77DB" w:rsidRPr="00F82FAF">
        <w:t xml:space="preserve"> </w:t>
      </w:r>
      <w:r w:rsidR="00E726C3" w:rsidRPr="00195A41">
        <w:rPr>
          <w:b/>
        </w:rPr>
        <w:t xml:space="preserve">236 000,00 (двести тридцать шесть тысяч) рублей, </w:t>
      </w:r>
    </w:p>
    <w:p w:rsidR="00E726C3" w:rsidRPr="00E726C3" w:rsidRDefault="00195A41" w:rsidP="00195A41">
      <w:pPr>
        <w:pStyle w:val="a5"/>
        <w:suppressAutoHyphens/>
        <w:spacing w:line="360" w:lineRule="auto"/>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- 47 200,00 (сорок семь тысяч двести) рублей,</w:t>
      </w:r>
    </w:p>
    <w:p w:rsidR="00895218" w:rsidRDefault="00E726C3" w:rsidP="00195A41">
      <w:pPr>
        <w:pStyle w:val="a5"/>
        <w:suppressAutoHyphens/>
        <w:spacing w:line="360" w:lineRule="auto"/>
        <w:ind w:left="0"/>
        <w:jc w:val="both"/>
      </w:pPr>
      <w:r w:rsidRPr="00E726C3">
        <w:rPr>
          <w:b/>
        </w:rPr>
        <w:t xml:space="preserve">Шаг аукциона </w:t>
      </w:r>
      <w:r w:rsidR="00195A41">
        <w:rPr>
          <w:b/>
        </w:rPr>
        <w:t xml:space="preserve"> </w:t>
      </w:r>
      <w:r w:rsidRPr="00E726C3">
        <w:rPr>
          <w:b/>
        </w:rPr>
        <w:t>-  11 800,00 (одиннадцать тысяч восемьсот) рублей</w:t>
      </w:r>
      <w:r w:rsidR="00195A41">
        <w:rPr>
          <w:b/>
        </w:rPr>
        <w:t xml:space="preserve"> </w:t>
      </w:r>
      <w:r w:rsidR="00195A41" w:rsidRPr="00195A41">
        <w:t>(5% от начальной цены продажи имущества)</w:t>
      </w:r>
      <w:r w:rsidRPr="00195A41">
        <w:t>.</w:t>
      </w:r>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sidR="004C63BA" w:rsidRPr="00F82FAF">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2C5A01">
        <w:rPr>
          <w:b/>
        </w:rPr>
        <w:t>25</w:t>
      </w:r>
      <w:r w:rsidR="0045129E">
        <w:rPr>
          <w:b/>
        </w:rPr>
        <w:t>.02.</w:t>
      </w:r>
      <w:r w:rsidR="005B2601" w:rsidRPr="006D4E3E">
        <w:rPr>
          <w:b/>
        </w:rPr>
        <w:t>20</w:t>
      </w:r>
      <w:r w:rsidR="00BF6488">
        <w:rPr>
          <w:b/>
        </w:rPr>
        <w:t>20</w:t>
      </w:r>
      <w:r w:rsidR="00AE63DD" w:rsidRPr="006D4E3E">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r w:rsidR="00195A41">
        <w:t>гаража</w:t>
      </w:r>
      <w:r w:rsidR="0045397A" w:rsidRPr="00F82FAF">
        <w:t xml:space="preserve"> </w:t>
      </w:r>
      <w:proofErr w:type="spellStart"/>
      <w:r w:rsidR="00D30CFB">
        <w:t>г</w:t>
      </w:r>
      <w:proofErr w:type="gramStart"/>
      <w:r w:rsidR="00D30CFB">
        <w:t>.У</w:t>
      </w:r>
      <w:proofErr w:type="gramEnd"/>
      <w:r w:rsidR="00D30CFB">
        <w:t>фа</w:t>
      </w:r>
      <w:proofErr w:type="spellEnd"/>
      <w:r w:rsidR="00195A41">
        <w:t xml:space="preserve"> </w:t>
      </w:r>
      <w:proofErr w:type="spellStart"/>
      <w:r w:rsidR="00195A41">
        <w:t>пр</w:t>
      </w:r>
      <w:r w:rsidR="00BF6488">
        <w:t>С</w:t>
      </w:r>
      <w:r w:rsidR="00195A41">
        <w:t>Юлаева</w:t>
      </w:r>
      <w:proofErr w:type="spellEnd"/>
      <w:r w:rsidR="00195A41">
        <w:t xml:space="preserve"> д59а</w:t>
      </w:r>
    </w:p>
    <w:p w:rsidR="000951D7" w:rsidRPr="00692DCC" w:rsidRDefault="000951D7" w:rsidP="000951D7">
      <w:pPr>
        <w:pStyle w:val="a5"/>
        <w:tabs>
          <w:tab w:val="left" w:pos="426"/>
          <w:tab w:val="left" w:pos="567"/>
        </w:tabs>
        <w:spacing w:after="240"/>
        <w:ind w:left="360"/>
        <w:jc w:val="both"/>
      </w:pPr>
    </w:p>
    <w:p w:rsidR="0087455D" w:rsidRPr="00FF4B81" w:rsidRDefault="0087455D" w:rsidP="0087455D">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FF4B81">
        <w:rPr>
          <w:b/>
        </w:rPr>
        <w:t>в течение 30 дней 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2C5A01">
        <w:rPr>
          <w:b/>
        </w:rPr>
        <w:t>29</w:t>
      </w:r>
      <w:r w:rsidR="0045129E">
        <w:rPr>
          <w:b/>
        </w:rPr>
        <w:t xml:space="preserve"> января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2C5A01">
        <w:rPr>
          <w:b/>
        </w:rPr>
        <w:t>26</w:t>
      </w:r>
      <w:r w:rsidR="0045129E">
        <w:rPr>
          <w:b/>
        </w:rPr>
        <w:t xml:space="preserve"> февраля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2C5A01">
        <w:rPr>
          <w:b/>
        </w:rPr>
        <w:t>26</w:t>
      </w:r>
      <w:r w:rsidR="0045129E">
        <w:rPr>
          <w:b/>
        </w:rPr>
        <w:t xml:space="preserve"> февраля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2C5A01">
        <w:rPr>
          <w:b/>
        </w:rPr>
        <w:t>02 марта</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2C5A01">
        <w:t>02 марта</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2C5A01">
        <w:t>02 марта</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DD4158">
        <w:t>229-91-37</w:t>
      </w:r>
      <w:r w:rsidRPr="007C0E90">
        <w:t xml:space="preserve"> -  </w:t>
      </w:r>
      <w:r w:rsidR="00DD4158">
        <w:t>Попов Сергей Петрович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lastRenderedPageBreak/>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w:t>
      </w:r>
      <w:r w:rsidR="0076582B">
        <w:t xml:space="preserve">гаража </w:t>
      </w:r>
      <w:proofErr w:type="spellStart"/>
      <w:r w:rsidR="0076582B">
        <w:t>г</w:t>
      </w:r>
      <w:proofErr w:type="gramStart"/>
      <w:r w:rsidR="0076582B">
        <w:t>.У</w:t>
      </w:r>
      <w:proofErr w:type="gramEnd"/>
      <w:r w:rsidR="0076582B">
        <w:t>фа</w:t>
      </w:r>
      <w:proofErr w:type="spellEnd"/>
      <w:r w:rsidR="0076582B">
        <w:t xml:space="preserve"> </w:t>
      </w:r>
      <w:proofErr w:type="spellStart"/>
      <w:r w:rsidR="0076582B">
        <w:t>пр</w:t>
      </w:r>
      <w:r w:rsidR="00C577D9">
        <w:t>С</w:t>
      </w:r>
      <w:r w:rsidR="0076582B">
        <w:t>Юлаева</w:t>
      </w:r>
      <w:proofErr w:type="spellEnd"/>
      <w:r w:rsidR="0076582B">
        <w:t xml:space="preserve"> д.59а</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76582B" w:rsidRPr="0076582B">
        <w:t>47 200,00 (сорок семь тысяч двести) рублей</w:t>
      </w:r>
      <w:r w:rsidR="00B63337">
        <w:t xml:space="preserve"> </w:t>
      </w:r>
      <w:r w:rsidRPr="007C0E90">
        <w:t>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lastRenderedPageBreak/>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lastRenderedPageBreak/>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57574" w:rsidRPr="00B12363" w:rsidRDefault="00757574" w:rsidP="00B12363">
      <w:pPr>
        <w:spacing w:after="240"/>
        <w:contextualSpacing/>
        <w:jc w:val="both"/>
        <w:rPr>
          <w:lang w:eastAsia="ar-SA"/>
        </w:rPr>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757574"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6E7F44">
        <w:rPr>
          <w:b/>
        </w:rPr>
        <w:t xml:space="preserve">ства Республики Башкортостан», </w:t>
      </w:r>
      <w:r w:rsidR="00757574" w:rsidRPr="00757574">
        <w:rPr>
          <w:b/>
        </w:rPr>
        <w:t>нежилого помещения (гаражного  бокса) №104</w:t>
      </w:r>
      <w:r w:rsidR="00757574">
        <w:rPr>
          <w:b/>
        </w:rPr>
        <w:t xml:space="preserve">, </w:t>
      </w:r>
      <w:r w:rsidR="006E7F44">
        <w:rPr>
          <w:b/>
        </w:rPr>
        <w:t>расположенного по адресу:</w:t>
      </w:r>
      <w:r w:rsidR="00757574">
        <w:rPr>
          <w:b/>
        </w:rPr>
        <w:t xml:space="preserve">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E5273" w:rsidP="00757574">
      <w:pPr>
        <w:suppressAutoHyphens/>
        <w:ind w:firstLine="567"/>
        <w:jc w:val="both"/>
      </w:pPr>
      <w:r w:rsidRPr="00F82FAF">
        <w:t xml:space="preserve"> </w:t>
      </w:r>
      <w:r w:rsidR="00757574" w:rsidRPr="00757574">
        <w:rPr>
          <w:b/>
        </w:rPr>
        <w:t xml:space="preserve">нежилое помещение (гаражный бокс), площадью 17,6 </w:t>
      </w:r>
      <w:proofErr w:type="spellStart"/>
      <w:r w:rsidR="00757574" w:rsidRPr="00757574">
        <w:rPr>
          <w:b/>
        </w:rPr>
        <w:t>кв.м</w:t>
      </w:r>
      <w:proofErr w:type="spellEnd"/>
      <w:r w:rsidR="00757574" w:rsidRPr="00757574">
        <w:rPr>
          <w:b/>
        </w:rPr>
        <w:t xml:space="preserve">., этаж:4, расположенное по адресу: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бокс 104, (кадастровый номер – 02:55:010609:323)</w:t>
      </w:r>
      <w:r w:rsidR="00757574">
        <w:t xml:space="preserve"> </w:t>
      </w:r>
      <w:r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(меня)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C5A01">
        <w:t>28</w:t>
      </w:r>
      <w:r w:rsidR="0045129E">
        <w:t>0120</w:t>
      </w:r>
      <w:r w:rsidR="006E7F44">
        <w:t>/9022849/0</w:t>
      </w:r>
      <w:r w:rsidR="00757574">
        <w:t>1</w:t>
      </w:r>
      <w:r w:rsidR="006E7F44">
        <w:t xml:space="preserve"> от </w:t>
      </w:r>
      <w:r w:rsidR="002C5A01">
        <w:t>28</w:t>
      </w:r>
      <w:r w:rsidR="0045129E">
        <w:t>.01.2020г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757574" w:rsidRPr="00757574">
        <w:rPr>
          <w:rFonts w:eastAsia="Calibri"/>
          <w:b/>
          <w:lang w:eastAsia="en-US"/>
        </w:rPr>
        <w:t>47 200,00 (сорок семь тысяч двести)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«___»  </w:t>
      </w:r>
      <w:r w:rsidR="005B5926">
        <w:t>февраля</w:t>
      </w:r>
      <w:r w:rsidRPr="005C7B2B">
        <w:t xml:space="preserve">  20</w:t>
      </w:r>
      <w:r w:rsidR="005B5926">
        <w:t>20</w:t>
      </w:r>
      <w:r w:rsidRPr="005C7B2B">
        <w:t xml:space="preserve">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093B4E" w:rsidRPr="00093B4E">
        <w:rPr>
          <w:b/>
          <w:sz w:val="23"/>
          <w:szCs w:val="23"/>
        </w:rPr>
        <w:t xml:space="preserve">нежилого помещения (гаражного бокса), площадью 17,6 </w:t>
      </w:r>
      <w:proofErr w:type="spellStart"/>
      <w:r w:rsidR="00093B4E" w:rsidRPr="00093B4E">
        <w:rPr>
          <w:b/>
          <w:sz w:val="23"/>
          <w:szCs w:val="23"/>
        </w:rPr>
        <w:t>кв.м</w:t>
      </w:r>
      <w:proofErr w:type="spellEnd"/>
      <w:r w:rsidR="00093B4E" w:rsidRPr="00093B4E">
        <w:rPr>
          <w:b/>
          <w:sz w:val="23"/>
          <w:szCs w:val="23"/>
        </w:rPr>
        <w:t xml:space="preserve">., этаж:4, расположенного по адресу: </w:t>
      </w:r>
      <w:proofErr w:type="spellStart"/>
      <w:r w:rsidR="00093B4E" w:rsidRPr="00093B4E">
        <w:rPr>
          <w:b/>
          <w:sz w:val="23"/>
          <w:szCs w:val="23"/>
        </w:rPr>
        <w:t>г</w:t>
      </w:r>
      <w:proofErr w:type="gramStart"/>
      <w:r w:rsidR="00093B4E" w:rsidRPr="00093B4E">
        <w:rPr>
          <w:b/>
          <w:sz w:val="23"/>
          <w:szCs w:val="23"/>
        </w:rPr>
        <w:t>.У</w:t>
      </w:r>
      <w:proofErr w:type="gramEnd"/>
      <w:r w:rsidR="00093B4E" w:rsidRPr="00093B4E">
        <w:rPr>
          <w:b/>
          <w:sz w:val="23"/>
          <w:szCs w:val="23"/>
        </w:rPr>
        <w:t>фа</w:t>
      </w:r>
      <w:proofErr w:type="spellEnd"/>
      <w:r w:rsidR="00093B4E" w:rsidRPr="00093B4E">
        <w:rPr>
          <w:b/>
          <w:sz w:val="23"/>
          <w:szCs w:val="23"/>
        </w:rPr>
        <w:t xml:space="preserve">, Советский  район, проспект Салавата </w:t>
      </w:r>
      <w:proofErr w:type="spellStart"/>
      <w:r w:rsidR="00093B4E" w:rsidRPr="00093B4E">
        <w:rPr>
          <w:b/>
          <w:sz w:val="23"/>
          <w:szCs w:val="23"/>
        </w:rPr>
        <w:t>Юлаева</w:t>
      </w:r>
      <w:proofErr w:type="spellEnd"/>
      <w:r w:rsidR="00093B4E" w:rsidRPr="00093B4E">
        <w:rPr>
          <w:b/>
          <w:sz w:val="23"/>
          <w:szCs w:val="23"/>
        </w:rPr>
        <w:t xml:space="preserve"> д.59а, бокс 104, (кадастровый номер – 02:55:010609:323)</w:t>
      </w:r>
      <w:r w:rsidRPr="005C7B2B">
        <w:rPr>
          <w:sz w:val="23"/>
          <w:szCs w:val="23"/>
        </w:rPr>
        <w:t xml:space="preserve"> 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093B4E" w:rsidRPr="00093B4E">
        <w:rPr>
          <w:rFonts w:eastAsia="Calibri"/>
          <w:b/>
          <w:sz w:val="23"/>
          <w:szCs w:val="23"/>
          <w:lang w:eastAsia="en-US"/>
        </w:rPr>
        <w:t xml:space="preserve">47 200,00 (сорок семь тысяч двести) рублей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437D66">
        <w:rPr>
          <w:sz w:val="23"/>
          <w:szCs w:val="23"/>
        </w:rPr>
        <w:t>1312</w:t>
      </w:r>
      <w:r w:rsidRPr="005C7B2B">
        <w:rPr>
          <w:sz w:val="23"/>
          <w:szCs w:val="23"/>
        </w:rPr>
        <w:t>19/9022849/0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2C5A01">
        <w:rPr>
          <w:b/>
          <w:sz w:val="23"/>
          <w:szCs w:val="23"/>
        </w:rPr>
        <w:t>25</w:t>
      </w:r>
      <w:r w:rsidR="005B5926">
        <w:rPr>
          <w:b/>
          <w:sz w:val="23"/>
          <w:szCs w:val="23"/>
        </w:rPr>
        <w:t xml:space="preserve"> февраля</w:t>
      </w:r>
      <w:r w:rsidR="00437D66">
        <w:rPr>
          <w:b/>
          <w:sz w:val="23"/>
          <w:szCs w:val="23"/>
        </w:rPr>
        <w:t xml:space="preserve">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093B4E" w:rsidRPr="005C7B2B"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2C5A01">
        <w:t xml:space="preserve">марта </w:t>
      </w:r>
      <w:r w:rsidR="00437D66">
        <w:t xml:space="preserve"> 2020</w:t>
      </w:r>
      <w:r w:rsidRPr="00AD1FD7">
        <w:t xml:space="preserve"> г.</w:t>
      </w:r>
    </w:p>
    <w:p w:rsidR="00AD1FD7" w:rsidRPr="00AD1FD7" w:rsidRDefault="00AD1FD7" w:rsidP="00AD1FD7">
      <w:pPr>
        <w:contextualSpacing/>
        <w:jc w:val="both"/>
      </w:pPr>
    </w:p>
    <w:p w:rsidR="00AD1FD7" w:rsidRPr="00AD1FD7" w:rsidRDefault="00AD1FD7" w:rsidP="00AD1FD7">
      <w:pPr>
        <w:tabs>
          <w:tab w:val="center" w:pos="4153"/>
          <w:tab w:val="right" w:pos="8306"/>
        </w:tabs>
        <w:ind w:right="45" w:firstLine="540"/>
        <w:jc w:val="both"/>
        <w:rPr>
          <w:sz w:val="20"/>
          <w:szCs w:val="20"/>
        </w:rPr>
      </w:pPr>
      <w:r w:rsidRPr="00AD1FD7">
        <w:rPr>
          <w:b/>
          <w:bCs/>
        </w:rPr>
        <w:t>ГУП</w:t>
      </w:r>
      <w:r w:rsidRPr="00AD1FD7">
        <w:rPr>
          <w:bCs/>
        </w:rPr>
        <w:t xml:space="preserve"> </w:t>
      </w:r>
      <w:r w:rsidRPr="00AD1FD7">
        <w:rPr>
          <w:b/>
          <w:bCs/>
        </w:rPr>
        <w:t>«Фонд жилищного строительства Республики Башкортостан»,</w:t>
      </w:r>
      <w:r w:rsidRPr="00AD1FD7">
        <w:t xml:space="preserve"> в лице генерального директора </w:t>
      </w:r>
      <w:proofErr w:type="spellStart"/>
      <w:r w:rsidRPr="00AD1FD7">
        <w:t>Шигапова</w:t>
      </w:r>
      <w:proofErr w:type="spellEnd"/>
      <w:r w:rsidRPr="00AD1FD7">
        <w:t xml:space="preserve"> </w:t>
      </w:r>
      <w:proofErr w:type="spellStart"/>
      <w:r w:rsidRPr="00AD1FD7">
        <w:t>Рамиля</w:t>
      </w:r>
      <w:proofErr w:type="spellEnd"/>
      <w:r w:rsidRPr="00AD1FD7">
        <w:t xml:space="preserve"> </w:t>
      </w:r>
      <w:proofErr w:type="spellStart"/>
      <w:r w:rsidRPr="00AD1FD7">
        <w:t>Махмутовича</w:t>
      </w:r>
      <w:proofErr w:type="spellEnd"/>
      <w:r w:rsidRPr="00AD1FD7">
        <w:t xml:space="preserve">, действующего на основании Устава, </w:t>
      </w:r>
      <w:proofErr w:type="gramStart"/>
      <w:r w:rsidRPr="00AD1FD7">
        <w:t>именуемое</w:t>
      </w:r>
      <w:proofErr w:type="gramEnd"/>
      <w:r w:rsidRPr="00AD1FD7">
        <w:t xml:space="preserve"> в дальнейшем Продавец, с одной стороны, и </w:t>
      </w:r>
      <w:r w:rsidRPr="00AD1FD7">
        <w:rPr>
          <w:b/>
        </w:rPr>
        <w:t xml:space="preserve">__________________________________, </w:t>
      </w:r>
      <w:r w:rsidRPr="00AD1FD7">
        <w:t>в лице директора ______________________, действующего на основании Устава, именуемое в дальнейшем</w:t>
      </w:r>
      <w:r w:rsidRPr="00AD1FD7">
        <w:rPr>
          <w:b/>
        </w:rPr>
        <w:t xml:space="preserve"> </w:t>
      </w:r>
      <w:r w:rsidRPr="00AD1FD7">
        <w:t>Покупатель, с другой стороны, вместе именуемые в дальнейшем Стороны, заключили настоящий Договор о нижеследующем:</w:t>
      </w:r>
      <w:r w:rsidRPr="00AD1FD7">
        <w:rPr>
          <w:sz w:val="20"/>
          <w:szCs w:val="20"/>
        </w:rPr>
        <w:t xml:space="preserve">    </w:t>
      </w:r>
    </w:p>
    <w:p w:rsidR="00AD1FD7" w:rsidRPr="00AD1FD7" w:rsidRDefault="00AD1FD7" w:rsidP="00AD1FD7">
      <w:pPr>
        <w:tabs>
          <w:tab w:val="center" w:pos="4153"/>
          <w:tab w:val="right" w:pos="8306"/>
        </w:tabs>
        <w:ind w:right="45" w:firstLine="540"/>
        <w:jc w:val="both"/>
        <w:rPr>
          <w:sz w:val="20"/>
          <w:szCs w:val="20"/>
        </w:rPr>
      </w:pPr>
    </w:p>
    <w:p w:rsidR="00AD1FD7" w:rsidRPr="00AD1FD7" w:rsidRDefault="00AD1FD7" w:rsidP="00AD1FD7">
      <w:pPr>
        <w:ind w:right="45" w:firstLine="567"/>
        <w:jc w:val="center"/>
      </w:pPr>
      <w:r w:rsidRPr="00AD1FD7">
        <w:rPr>
          <w:b/>
        </w:rPr>
        <w:t>1. Общие положения</w:t>
      </w:r>
      <w:r w:rsidRPr="00AD1FD7">
        <w:t xml:space="preserve">   </w:t>
      </w:r>
    </w:p>
    <w:p w:rsidR="00AD1FD7" w:rsidRPr="00AD1FD7" w:rsidRDefault="00AD1FD7" w:rsidP="00AD1FD7">
      <w:pPr>
        <w:ind w:right="45" w:firstLine="567"/>
        <w:jc w:val="center"/>
        <w:rPr>
          <w:bCs/>
        </w:rPr>
      </w:pPr>
    </w:p>
    <w:p w:rsidR="00AD1FD7" w:rsidRPr="00AD1FD7" w:rsidRDefault="00064C67" w:rsidP="005145FB">
      <w:pPr>
        <w:numPr>
          <w:ilvl w:val="1"/>
          <w:numId w:val="4"/>
        </w:numPr>
        <w:suppressAutoHyphens/>
        <w:spacing w:after="200" w:line="276" w:lineRule="auto"/>
        <w:ind w:left="0" w:firstLine="709"/>
        <w:contextualSpacing/>
        <w:jc w:val="both"/>
      </w:pPr>
      <w:r>
        <w:rPr>
          <w:noProof/>
        </w:rPr>
        <w:pict>
          <v:line id="Прямая соединительная линия 2"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AD1FD7" w:rsidRPr="00AD1FD7">
        <w:rPr>
          <w:bCs/>
        </w:rPr>
        <w:t>Настоящий договор заключен по взаимному согласию «Сторон» в соответствии с главой 30 Гражданского кодекса Российской Федерации,</w:t>
      </w:r>
      <w:r w:rsidR="00AD1FD7" w:rsidRPr="00AD1FD7">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 15</w:t>
      </w:r>
      <w:r w:rsidR="005145FB">
        <w:t>32</w:t>
      </w:r>
      <w:r w:rsidR="00AD1FD7" w:rsidRPr="00AD1FD7">
        <w:t xml:space="preserve"> от </w:t>
      </w:r>
      <w:r w:rsidR="005145FB">
        <w:t>06</w:t>
      </w:r>
      <w:r w:rsidR="00AD1FD7" w:rsidRPr="00AD1FD7">
        <w:t xml:space="preserve">.11.2019 года </w:t>
      </w:r>
      <w:r w:rsidR="00AD1FD7" w:rsidRPr="00AD1FD7">
        <w:rPr>
          <w:bCs/>
        </w:rPr>
        <w:t>и итоговым протоколом № __________________  заседания  аукционной комиссии</w:t>
      </w:r>
      <w:proofErr w:type="gramEnd"/>
      <w:r w:rsidR="00AD1FD7" w:rsidRPr="00AD1FD7">
        <w:rPr>
          <w:bCs/>
        </w:rPr>
        <w:t xml:space="preserve"> ГУП «Фонд жилищного строительства Республики Башкортостан» </w:t>
      </w:r>
      <w:r w:rsidR="00AD1FD7" w:rsidRPr="00AD1FD7">
        <w:t>о реализации</w:t>
      </w:r>
      <w:r w:rsidR="00AD1FD7" w:rsidRPr="00AD1FD7">
        <w:rPr>
          <w:bCs/>
        </w:rPr>
        <w:t xml:space="preserve"> </w:t>
      </w:r>
      <w:r w:rsidR="005145FB">
        <w:t>нежилого помещения (гаражного бокса)</w:t>
      </w:r>
      <w:r w:rsidR="00AD1FD7" w:rsidRPr="00AD1FD7">
        <w:t xml:space="preserve">, расположенного по адресу: </w:t>
      </w:r>
      <w:proofErr w:type="spellStart"/>
      <w:r w:rsidR="005145FB" w:rsidRPr="005145FB">
        <w:t>г</w:t>
      </w:r>
      <w:proofErr w:type="gramStart"/>
      <w:r w:rsidR="005145FB" w:rsidRPr="005145FB">
        <w:t>.У</w:t>
      </w:r>
      <w:proofErr w:type="gramEnd"/>
      <w:r w:rsidR="005145FB" w:rsidRPr="005145FB">
        <w:t>фа</w:t>
      </w:r>
      <w:proofErr w:type="spellEnd"/>
      <w:r w:rsidR="005145FB" w:rsidRPr="005145FB">
        <w:t xml:space="preserve">, Советский  район, проспект Салавата </w:t>
      </w:r>
      <w:proofErr w:type="spellStart"/>
      <w:r w:rsidR="005145FB" w:rsidRPr="005145FB">
        <w:t>Юлаева</w:t>
      </w:r>
      <w:proofErr w:type="spellEnd"/>
      <w:r w:rsidR="005145FB" w:rsidRPr="005145FB">
        <w:t xml:space="preserve"> д.59а</w:t>
      </w:r>
      <w:r w:rsidR="00AD1FD7" w:rsidRPr="00AD1FD7">
        <w:t>.</w:t>
      </w:r>
    </w:p>
    <w:p w:rsidR="00AD1FD7" w:rsidRPr="00AD1FD7" w:rsidRDefault="00AD1FD7" w:rsidP="00AD1FD7">
      <w:pPr>
        <w:suppressAutoHyphens/>
        <w:ind w:left="1714"/>
        <w:contextualSpacing/>
        <w:jc w:val="both"/>
      </w:pPr>
    </w:p>
    <w:p w:rsidR="00AD1FD7" w:rsidRPr="00AD1FD7" w:rsidRDefault="00AD1FD7" w:rsidP="00AD1FD7">
      <w:pPr>
        <w:suppressAutoHyphens/>
        <w:spacing w:line="276" w:lineRule="auto"/>
        <w:ind w:firstLine="567"/>
        <w:jc w:val="center"/>
        <w:rPr>
          <w:b/>
        </w:rPr>
      </w:pPr>
      <w:r w:rsidRPr="00AD1FD7">
        <w:rPr>
          <w:b/>
        </w:rPr>
        <w:t>2. Предмет договора</w:t>
      </w:r>
    </w:p>
    <w:p w:rsidR="00AD1FD7" w:rsidRPr="00AD1FD7" w:rsidRDefault="00AD1FD7" w:rsidP="00AD1FD7">
      <w:pPr>
        <w:ind w:right="45" w:firstLine="567"/>
        <w:jc w:val="center"/>
        <w:rPr>
          <w:b/>
        </w:rPr>
      </w:pPr>
    </w:p>
    <w:p w:rsidR="005145FB" w:rsidRDefault="00AD1FD7" w:rsidP="005145FB">
      <w:pPr>
        <w:ind w:firstLine="567"/>
        <w:jc w:val="both"/>
        <w:rPr>
          <w:b/>
        </w:rPr>
      </w:pPr>
      <w:r w:rsidRPr="00AD1FD7">
        <w:t xml:space="preserve"> 2.1. Продавец продает, а Покупатель приобретает в собственность объект недвижимости по цене и на условиях настоящего Договора, </w:t>
      </w:r>
      <w:r w:rsidR="005145FB" w:rsidRPr="005145FB">
        <w:rPr>
          <w:b/>
          <w:bCs/>
        </w:rPr>
        <w:t xml:space="preserve">нежилое помещение (гаражный бокс), площадью 17,6 </w:t>
      </w:r>
      <w:proofErr w:type="spellStart"/>
      <w:r w:rsidR="005145FB" w:rsidRPr="005145FB">
        <w:rPr>
          <w:b/>
          <w:bCs/>
        </w:rPr>
        <w:t>кв.м</w:t>
      </w:r>
      <w:proofErr w:type="spellEnd"/>
      <w:r w:rsidR="005145FB" w:rsidRPr="005145FB">
        <w:rPr>
          <w:b/>
          <w:bCs/>
        </w:rPr>
        <w:t xml:space="preserve">., этаж:4, расположенное по адресу: </w:t>
      </w:r>
      <w:proofErr w:type="spellStart"/>
      <w:r w:rsidR="005145FB" w:rsidRPr="005145FB">
        <w:rPr>
          <w:rFonts w:eastAsia="Calibri"/>
          <w:b/>
          <w:lang w:eastAsia="en-US"/>
        </w:rPr>
        <w:t>г</w:t>
      </w:r>
      <w:proofErr w:type="gramStart"/>
      <w:r w:rsidR="005145FB" w:rsidRPr="005145FB">
        <w:rPr>
          <w:rFonts w:eastAsia="Calibri"/>
          <w:b/>
          <w:lang w:eastAsia="en-US"/>
        </w:rPr>
        <w:t>.У</w:t>
      </w:r>
      <w:proofErr w:type="gramEnd"/>
      <w:r w:rsidR="005145FB" w:rsidRPr="005145FB">
        <w:rPr>
          <w:rFonts w:eastAsia="Calibri"/>
          <w:b/>
          <w:lang w:eastAsia="en-US"/>
        </w:rPr>
        <w:t>фа</w:t>
      </w:r>
      <w:proofErr w:type="spellEnd"/>
      <w:r w:rsidR="005145FB" w:rsidRPr="005145FB">
        <w:rPr>
          <w:rFonts w:eastAsia="Calibri"/>
          <w:b/>
          <w:lang w:eastAsia="en-US"/>
        </w:rPr>
        <w:t xml:space="preserve">, Советский  район, проспект Салавата </w:t>
      </w:r>
      <w:proofErr w:type="spellStart"/>
      <w:r w:rsidR="005145FB" w:rsidRPr="005145FB">
        <w:rPr>
          <w:rFonts w:eastAsia="Calibri"/>
          <w:b/>
          <w:lang w:eastAsia="en-US"/>
        </w:rPr>
        <w:t>Юлаева</w:t>
      </w:r>
      <w:proofErr w:type="spellEnd"/>
      <w:r w:rsidR="005145FB" w:rsidRPr="005145FB">
        <w:rPr>
          <w:rFonts w:eastAsia="Calibri"/>
          <w:b/>
          <w:lang w:eastAsia="en-US"/>
        </w:rPr>
        <w:t xml:space="preserve"> д.59а, бокс 104,</w:t>
      </w:r>
      <w:r w:rsidR="005145FB" w:rsidRPr="005145FB">
        <w:rPr>
          <w:b/>
        </w:rPr>
        <w:t xml:space="preserve"> (кадастровый номер – 02:55:010609:323)</w:t>
      </w:r>
      <w:r w:rsidR="005145FB">
        <w:rPr>
          <w:b/>
        </w:rPr>
        <w:t>.</w:t>
      </w:r>
    </w:p>
    <w:p w:rsidR="00AD1FD7" w:rsidRPr="00AD1FD7" w:rsidRDefault="00AD1FD7" w:rsidP="005145FB">
      <w:pPr>
        <w:ind w:firstLine="567"/>
        <w:jc w:val="both"/>
      </w:pPr>
      <w:r w:rsidRPr="00AD1FD7">
        <w:t xml:space="preserve"> В Едином государственном реестре недвижимости право хозяйственного ведения ГУП «Фонд жилищного строительства Республики</w:t>
      </w:r>
      <w:r w:rsidR="005145FB">
        <w:t xml:space="preserve"> Башкортостан» зарегистрировано</w:t>
      </w:r>
      <w:r w:rsidRPr="00AD1FD7">
        <w:t xml:space="preserve"> за №</w:t>
      </w:r>
      <w:r w:rsidR="005145FB">
        <w:t>02-04/101-04/301/006/2016-1526/2 от 28.07.2016 года.</w:t>
      </w:r>
    </w:p>
    <w:p w:rsidR="00AD1FD7" w:rsidRPr="00AD1FD7" w:rsidRDefault="00705672" w:rsidP="005D4190">
      <w:pPr>
        <w:ind w:firstLine="567"/>
        <w:jc w:val="both"/>
        <w:rPr>
          <w:b/>
        </w:rPr>
      </w:pPr>
      <w:r w:rsidRPr="00705672">
        <w:t>2.2.</w:t>
      </w:r>
      <w:r w:rsidRPr="00705672">
        <w:tab/>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r w:rsidR="00AD1FD7" w:rsidRPr="00AD1FD7">
        <w:t xml:space="preserve">  </w:t>
      </w:r>
    </w:p>
    <w:p w:rsidR="00AD1FD7" w:rsidRPr="00AD1FD7" w:rsidRDefault="00AD1FD7" w:rsidP="00AD1FD7">
      <w:pPr>
        <w:ind w:firstLine="544"/>
        <w:contextualSpacing/>
        <w:jc w:val="center"/>
        <w:rPr>
          <w:b/>
        </w:rPr>
      </w:pPr>
      <w:r w:rsidRPr="00AD1FD7">
        <w:rPr>
          <w:b/>
        </w:rPr>
        <w:t>3. Плата по договору</w:t>
      </w:r>
    </w:p>
    <w:p w:rsidR="00AD1FD7" w:rsidRPr="00AD1FD7" w:rsidRDefault="00AD1FD7" w:rsidP="00AD1FD7">
      <w:pPr>
        <w:tabs>
          <w:tab w:val="left" w:pos="3432"/>
        </w:tabs>
        <w:ind w:right="45" w:firstLine="567"/>
        <w:jc w:val="both"/>
        <w:rPr>
          <w:bCs/>
        </w:rPr>
      </w:pPr>
      <w:r w:rsidRPr="00AD1FD7">
        <w:rPr>
          <w:bCs/>
        </w:rPr>
        <w:tab/>
      </w:r>
    </w:p>
    <w:p w:rsidR="00AD1FD7" w:rsidRPr="00AD1FD7" w:rsidRDefault="00AD1FD7" w:rsidP="00AD1FD7">
      <w:pPr>
        <w:suppressAutoHyphens/>
        <w:ind w:firstLine="567"/>
        <w:jc w:val="both"/>
        <w:rPr>
          <w:b/>
        </w:rPr>
      </w:pPr>
      <w:r w:rsidRPr="00AD1FD7">
        <w:t xml:space="preserve">3.1. Стоимость  Объекта  составляет  </w:t>
      </w:r>
      <w:r w:rsidRPr="00AD1FD7">
        <w:rPr>
          <w:b/>
        </w:rPr>
        <w:t>_________________</w:t>
      </w:r>
      <w:r w:rsidR="00B54F53">
        <w:rPr>
          <w:b/>
        </w:rPr>
        <w:t>____________</w:t>
      </w:r>
      <w:r w:rsidRPr="00AD1FD7">
        <w:rPr>
          <w:b/>
        </w:rPr>
        <w:t xml:space="preserve">______ рублей, </w:t>
      </w:r>
      <w:r w:rsidRPr="00AD1FD7">
        <w:t>в том числе НДС.</w:t>
      </w:r>
      <w:r w:rsidRPr="00AD1FD7">
        <w:rPr>
          <w:b/>
        </w:rPr>
        <w:t xml:space="preserve"> </w:t>
      </w:r>
    </w:p>
    <w:p w:rsidR="00AD1FD7" w:rsidRPr="00AD1FD7" w:rsidRDefault="00AD1FD7" w:rsidP="00AD1FD7">
      <w:pPr>
        <w:ind w:right="45" w:firstLine="567"/>
        <w:jc w:val="both"/>
        <w:rPr>
          <w:b/>
        </w:rPr>
      </w:pPr>
      <w:r w:rsidRPr="00AD1FD7">
        <w:t xml:space="preserve">3.2. Покупатель </w:t>
      </w:r>
      <w:proofErr w:type="gramStart"/>
      <w:r w:rsidRPr="00AD1FD7">
        <w:t>оплачивает стоимость Объекта</w:t>
      </w:r>
      <w:proofErr w:type="gramEnd"/>
      <w:r w:rsidRPr="00AD1FD7">
        <w:t>, указанную в пункте 3.1. настоящего Договора, путем перечисления ден</w:t>
      </w:r>
      <w:r w:rsidR="00705672">
        <w:t xml:space="preserve">ежных средств на счет Продавца в течение 30 дней после подписания настоящего договора. </w:t>
      </w:r>
    </w:p>
    <w:p w:rsidR="00AD1FD7" w:rsidRPr="00AD1FD7" w:rsidRDefault="00AD1FD7" w:rsidP="00AD1FD7">
      <w:pPr>
        <w:ind w:right="45" w:firstLine="567"/>
        <w:jc w:val="both"/>
      </w:pPr>
      <w:r w:rsidRPr="00AD1FD7">
        <w:rPr>
          <w:b/>
        </w:rPr>
        <w:t>Сумма задатка</w:t>
      </w:r>
      <w:r w:rsidRPr="00AD1FD7">
        <w:t xml:space="preserve"> в размере </w:t>
      </w:r>
      <w:r w:rsidR="00705672" w:rsidRPr="00705672">
        <w:rPr>
          <w:rFonts w:eastAsia="Calibri"/>
          <w:b/>
          <w:sz w:val="23"/>
          <w:szCs w:val="23"/>
          <w:lang w:eastAsia="en-US"/>
        </w:rPr>
        <w:t>47 200,00 (сорок семь тысяч двести) рублей</w:t>
      </w:r>
      <w:r w:rsidRPr="00AD1FD7">
        <w:rPr>
          <w:b/>
        </w:rPr>
        <w:t>,</w:t>
      </w:r>
      <w:r w:rsidRPr="00AD1FD7">
        <w:t xml:space="preserve"> внесенная Покупателем согласно Договору о задатке ____________________________, засчитывается в счет оплаты Объекта. </w:t>
      </w:r>
      <w:r w:rsidR="007C7942">
        <w:t xml:space="preserve"> </w:t>
      </w:r>
      <w:r w:rsidRPr="00AD1FD7">
        <w:t xml:space="preserve">Оплата производится в рублях. </w:t>
      </w:r>
    </w:p>
    <w:p w:rsidR="007C7942" w:rsidRPr="007C7942" w:rsidRDefault="007C7942" w:rsidP="007C7942">
      <w:pPr>
        <w:ind w:right="45" w:firstLine="567"/>
        <w:jc w:val="center"/>
        <w:rPr>
          <w:b/>
        </w:rPr>
      </w:pPr>
      <w:r w:rsidRPr="007C7942">
        <w:rPr>
          <w:b/>
        </w:rPr>
        <w:lastRenderedPageBreak/>
        <w:t>4. Обязанности и права Сторон</w:t>
      </w:r>
    </w:p>
    <w:p w:rsidR="007C7942" w:rsidRPr="007C7942" w:rsidRDefault="007C7942" w:rsidP="007C7942">
      <w:pPr>
        <w:ind w:right="45" w:hanging="142"/>
        <w:jc w:val="center"/>
        <w:rPr>
          <w:b/>
        </w:rPr>
      </w:pPr>
    </w:p>
    <w:p w:rsidR="007C7942" w:rsidRPr="007C7942" w:rsidRDefault="007C7942" w:rsidP="007C7942">
      <w:pPr>
        <w:ind w:right="45" w:firstLine="567"/>
        <w:jc w:val="both"/>
      </w:pPr>
      <w:r w:rsidRPr="007C7942">
        <w:t xml:space="preserve">4.1. </w:t>
      </w:r>
      <w:r w:rsidRPr="007C7942">
        <w:rPr>
          <w:b/>
        </w:rPr>
        <w:t>Покупатель</w:t>
      </w:r>
      <w:r w:rsidRPr="007C7942">
        <w:t xml:space="preserve"> обязуется:</w:t>
      </w:r>
    </w:p>
    <w:p w:rsidR="007C7942" w:rsidRPr="007C7942" w:rsidRDefault="007C7942" w:rsidP="007C7942">
      <w:pPr>
        <w:ind w:right="45" w:firstLine="567"/>
        <w:jc w:val="both"/>
      </w:pPr>
      <w:r w:rsidRPr="007C7942">
        <w:t xml:space="preserve">4.1.1. </w:t>
      </w:r>
      <w:proofErr w:type="gramStart"/>
      <w:r w:rsidRPr="007C7942">
        <w:t>Оплатить стоимость Объекта</w:t>
      </w:r>
      <w:proofErr w:type="gramEnd"/>
      <w:r w:rsidRPr="007C7942">
        <w:t xml:space="preserve"> в сроки и в порядке, установленные разделом 3 настоящего Договора.</w:t>
      </w:r>
    </w:p>
    <w:p w:rsidR="007C7942" w:rsidRPr="007C7942" w:rsidRDefault="007C7942" w:rsidP="007C7942">
      <w:pPr>
        <w:ind w:right="45" w:firstLine="567"/>
        <w:jc w:val="both"/>
      </w:pPr>
      <w:r w:rsidRPr="007C7942">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C7942" w:rsidRPr="007C7942" w:rsidRDefault="007C7942" w:rsidP="007C7942">
      <w:pPr>
        <w:ind w:right="45" w:firstLine="567"/>
        <w:jc w:val="both"/>
      </w:pPr>
      <w:r w:rsidRPr="007C7942">
        <w:t xml:space="preserve">4.1.3. </w:t>
      </w:r>
      <w:proofErr w:type="gramStart"/>
      <w:r w:rsidRPr="007C7942">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C7942">
        <w:t>Росреестра</w:t>
      </w:r>
      <w:proofErr w:type="spellEnd"/>
      <w:r w:rsidRPr="007C7942">
        <w:t xml:space="preserve"> по Республике Башкортостан) в порядке, установленном</w:t>
      </w:r>
      <w:proofErr w:type="gramEnd"/>
      <w:r w:rsidRPr="007C7942">
        <w:t xml:space="preserve"> действующим законодательством.</w:t>
      </w:r>
    </w:p>
    <w:p w:rsidR="007C7942" w:rsidRPr="007C7942" w:rsidRDefault="007C7942" w:rsidP="007C7942">
      <w:pPr>
        <w:ind w:right="45" w:firstLine="567"/>
        <w:jc w:val="both"/>
      </w:pPr>
      <w:r w:rsidRPr="007C7942">
        <w:t>4.1.4. В пятидневный срок с момента получения выписки о государственной регистрации права собственности предоставить Продавцу его  копию.</w:t>
      </w:r>
    </w:p>
    <w:p w:rsidR="007C7942" w:rsidRPr="007C7942" w:rsidRDefault="007C7942" w:rsidP="007C7942">
      <w:pPr>
        <w:ind w:right="45" w:firstLine="567"/>
        <w:jc w:val="both"/>
      </w:pPr>
      <w:r w:rsidRPr="007C7942">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C7942" w:rsidRPr="007C7942" w:rsidRDefault="007C7942" w:rsidP="007C7942">
      <w:pPr>
        <w:ind w:right="45" w:firstLine="567"/>
        <w:jc w:val="both"/>
      </w:pPr>
      <w:r w:rsidRPr="007C7942">
        <w:t xml:space="preserve">4.2. </w:t>
      </w:r>
      <w:r w:rsidRPr="007C7942">
        <w:rPr>
          <w:b/>
        </w:rPr>
        <w:t>Продавец</w:t>
      </w:r>
      <w:r w:rsidRPr="007C7942">
        <w:t xml:space="preserve"> обязуется:</w:t>
      </w:r>
    </w:p>
    <w:p w:rsidR="007C7942" w:rsidRPr="007C7942" w:rsidRDefault="007C7942" w:rsidP="007C7942">
      <w:pPr>
        <w:ind w:right="45" w:firstLine="567"/>
        <w:jc w:val="both"/>
      </w:pPr>
      <w:r w:rsidRPr="007C7942">
        <w:t>4.2.1. Предоставить Покупателям сведения, необходимые для исполнения условий, установленных настоящим Договором.</w:t>
      </w:r>
    </w:p>
    <w:p w:rsidR="007C7942" w:rsidRPr="007C7942" w:rsidRDefault="007C7942" w:rsidP="007C7942">
      <w:pPr>
        <w:ind w:right="45" w:firstLine="567"/>
        <w:jc w:val="both"/>
      </w:pPr>
      <w:r w:rsidRPr="007C7942">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5. Передача Объекта.  Момент перехода риска случайной гибели и бремени содержания Объекта</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C7942" w:rsidRPr="007C7942" w:rsidRDefault="007C7942" w:rsidP="007C7942">
      <w:pPr>
        <w:ind w:right="45" w:firstLine="567"/>
        <w:jc w:val="both"/>
      </w:pPr>
      <w:r w:rsidRPr="007C7942">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6. Действие договора</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6.1. Настоящий Договор вступает в силу с момента его регистрации в Управлении </w:t>
      </w:r>
      <w:proofErr w:type="spellStart"/>
      <w:r w:rsidRPr="007C7942">
        <w:t>Росреестра</w:t>
      </w:r>
      <w:proofErr w:type="spellEnd"/>
      <w:r w:rsidRPr="007C7942">
        <w:t xml:space="preserve"> по Республике Башкортостан.</w:t>
      </w:r>
    </w:p>
    <w:p w:rsidR="007C7942" w:rsidRPr="007C7942" w:rsidRDefault="007C7942" w:rsidP="007C7942">
      <w:pPr>
        <w:ind w:right="45" w:firstLine="567"/>
        <w:jc w:val="both"/>
      </w:pPr>
      <w:r w:rsidRPr="007C7942">
        <w:t xml:space="preserve">6.2. </w:t>
      </w:r>
      <w:proofErr w:type="gramStart"/>
      <w:r w:rsidRPr="007C7942">
        <w:t>Договор</w:t>
      </w:r>
      <w:proofErr w:type="gramEnd"/>
      <w:r w:rsidRPr="007C7942">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C7942" w:rsidRPr="007C7942" w:rsidRDefault="007C7942" w:rsidP="007C7942">
      <w:pPr>
        <w:ind w:right="45" w:firstLine="567"/>
        <w:jc w:val="both"/>
      </w:pPr>
      <w:r w:rsidRPr="007C7942">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7C7942" w:rsidRPr="007C7942" w:rsidRDefault="007C7942" w:rsidP="007C7942">
      <w:pPr>
        <w:ind w:right="45" w:firstLine="567"/>
        <w:jc w:val="both"/>
      </w:pPr>
      <w:r w:rsidRPr="007C7942">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7C7942" w:rsidRPr="007C7942" w:rsidRDefault="007C7942" w:rsidP="007C7942">
      <w:pPr>
        <w:ind w:right="45" w:firstLine="567"/>
        <w:jc w:val="center"/>
        <w:rPr>
          <w:b/>
        </w:rPr>
      </w:pPr>
      <w:r w:rsidRPr="007C7942">
        <w:rPr>
          <w:b/>
        </w:rPr>
        <w:lastRenderedPageBreak/>
        <w:t>7. Ответственность «Сторон»</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C7942" w:rsidRPr="007C7942" w:rsidRDefault="007C7942" w:rsidP="007C7942">
      <w:pPr>
        <w:ind w:right="45" w:firstLine="567"/>
        <w:jc w:val="both"/>
      </w:pPr>
      <w:r w:rsidRPr="007C7942">
        <w:t>7.2. За нарушение срока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C7942" w:rsidRPr="007C7942" w:rsidRDefault="007C7942" w:rsidP="007C7942">
      <w:pPr>
        <w:ind w:right="45" w:firstLine="567"/>
        <w:jc w:val="both"/>
      </w:pPr>
      <w:r w:rsidRPr="007C7942">
        <w:t xml:space="preserve">7.3. В случае превышения срока допустимой просрочки, предусмотренной пунктом 7.1 настоящего Договора,  </w:t>
      </w:r>
      <w:proofErr w:type="gramStart"/>
      <w:r w:rsidRPr="007C7942">
        <w:t>Договор</w:t>
      </w:r>
      <w:proofErr w:type="gramEnd"/>
      <w:r w:rsidRPr="007C7942">
        <w:t xml:space="preserve"> может быть расторгнут по инициативе Продавца в одностороннем порядке. При этом Покупателю не возвращается задаток в размере 47 200,00 (сорок семь тысяч двести) рублей, внесенный Покупателем согласно Договору о задатке </w:t>
      </w:r>
      <w:r>
        <w:t>______________</w:t>
      </w:r>
      <w:r w:rsidRPr="007C7942">
        <w:t xml:space="preserve">. </w:t>
      </w:r>
    </w:p>
    <w:p w:rsidR="007C7942" w:rsidRPr="007C7942" w:rsidRDefault="007C7942" w:rsidP="007C7942">
      <w:pPr>
        <w:ind w:right="45" w:firstLine="567"/>
        <w:jc w:val="both"/>
      </w:pPr>
      <w:r w:rsidRPr="007C7942">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C7942" w:rsidRPr="007C7942" w:rsidRDefault="007C7942" w:rsidP="007C7942">
      <w:pPr>
        <w:ind w:right="45" w:firstLine="567"/>
        <w:jc w:val="both"/>
      </w:pPr>
      <w:r w:rsidRPr="007C7942">
        <w:t>7.5. В иных случаях нарушения настоящего Договора Стороны  несут ответственность в соответствии с действующим законодательством.</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 xml:space="preserve">8. Уведомление о состоянии Объекта </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9. Особые условия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C7942" w:rsidRPr="007C7942" w:rsidRDefault="007C7942" w:rsidP="007C7942">
      <w:pPr>
        <w:ind w:right="45" w:firstLine="567"/>
        <w:jc w:val="both"/>
      </w:pPr>
      <w:r w:rsidRPr="007C7942">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10. Заключительные положения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C7942" w:rsidRPr="007C7942" w:rsidRDefault="007C7942" w:rsidP="007C7942">
      <w:pPr>
        <w:ind w:right="45" w:firstLine="567"/>
        <w:jc w:val="both"/>
      </w:pPr>
      <w:r w:rsidRPr="007C7942">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C7942" w:rsidRPr="007C7942" w:rsidRDefault="007C7942" w:rsidP="007C7942">
      <w:pPr>
        <w:ind w:right="45" w:firstLine="567"/>
        <w:jc w:val="both"/>
      </w:pPr>
      <w:r w:rsidRPr="007C7942">
        <w:t>10.3. Отношения Сторон, не урегулированные  настоящим  Договором, регулируются действующим законодательством.</w:t>
      </w:r>
    </w:p>
    <w:p w:rsidR="007C7942" w:rsidRPr="007C7942" w:rsidRDefault="007C7942" w:rsidP="007C7942">
      <w:pPr>
        <w:ind w:right="45" w:firstLine="567"/>
        <w:jc w:val="both"/>
      </w:pPr>
      <w:r w:rsidRPr="007C7942">
        <w:t>10.4. К настоящему Договору применяются нормы гражданского законодательства и нормы права, регулирующие сделки приватизации.</w:t>
      </w:r>
    </w:p>
    <w:p w:rsidR="007C7942" w:rsidRPr="007C7942" w:rsidRDefault="007C7942" w:rsidP="007C7942">
      <w:pPr>
        <w:ind w:right="45" w:firstLine="567"/>
        <w:jc w:val="both"/>
      </w:pPr>
      <w:r w:rsidRPr="007C7942">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C7942" w:rsidRPr="007C7942" w:rsidRDefault="007C7942" w:rsidP="007C7942">
      <w:pPr>
        <w:ind w:right="45" w:firstLine="567"/>
        <w:jc w:val="both"/>
      </w:pPr>
      <w:r w:rsidRPr="007C7942">
        <w:lastRenderedPageBreak/>
        <w:t>10.6. Споры, возникающие при исполнении настоящего договора, разрешаются в порядке, установленном действующим законодательством.</w:t>
      </w:r>
    </w:p>
    <w:p w:rsidR="007C7942" w:rsidRPr="007C7942" w:rsidRDefault="007C7942" w:rsidP="007C7942">
      <w:pPr>
        <w:ind w:right="45" w:firstLine="567"/>
        <w:jc w:val="both"/>
      </w:pPr>
      <w:r w:rsidRPr="007C7942">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11.  Юридические адреса  и  реквизиты «Сторон»:</w:t>
      </w:r>
    </w:p>
    <w:p w:rsidR="00AD1FD7" w:rsidRPr="00AD1FD7" w:rsidRDefault="00AD1FD7" w:rsidP="00AD1FD7">
      <w:pPr>
        <w:ind w:right="45" w:firstLine="567"/>
        <w:contextualSpacing/>
        <w:jc w:val="both"/>
      </w:pPr>
    </w:p>
    <w:p w:rsidR="00AD1FD7" w:rsidRPr="00AD1FD7" w:rsidRDefault="00AD1FD7" w:rsidP="00AD1FD7">
      <w:pPr>
        <w:tabs>
          <w:tab w:val="center" w:pos="4153"/>
          <w:tab w:val="right" w:pos="8306"/>
        </w:tabs>
        <w:ind w:right="45" w:firstLine="540"/>
        <w:jc w:val="both"/>
        <w:rPr>
          <w:b/>
          <w:sz w:val="20"/>
          <w:szCs w:val="20"/>
        </w:rPr>
      </w:pPr>
      <w:r w:rsidRPr="00AD1FD7">
        <w:rPr>
          <w:sz w:val="20"/>
          <w:szCs w:val="20"/>
        </w:rPr>
        <w:t xml:space="preserve">                                      </w:t>
      </w:r>
      <w:r w:rsidRPr="00AD1FD7">
        <w:rPr>
          <w:b/>
          <w:sz w:val="20"/>
          <w:szCs w:val="20"/>
        </w:rPr>
        <w:t xml:space="preserve"> </w:t>
      </w:r>
    </w:p>
    <w:p w:rsidR="00AD1FD7" w:rsidRPr="00AD1FD7" w:rsidRDefault="00AD1FD7" w:rsidP="00AD1FD7">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2D2CD7" w:rsidRPr="00AD1FD7" w:rsidTr="00BB704A">
        <w:trPr>
          <w:trHeight w:val="2921"/>
        </w:trPr>
        <w:tc>
          <w:tcPr>
            <w:tcW w:w="4999" w:type="dxa"/>
          </w:tcPr>
          <w:p w:rsidR="00AD1FD7" w:rsidRPr="00AD1FD7" w:rsidRDefault="00AD1FD7" w:rsidP="00AD1FD7">
            <w:pPr>
              <w:tabs>
                <w:tab w:val="left" w:pos="142"/>
              </w:tabs>
              <w:ind w:right="-97"/>
              <w:rPr>
                <w:rFonts w:ascii="Calibri" w:hAnsi="Calibri"/>
                <w:noProof/>
              </w:rPr>
            </w:pPr>
            <w:r w:rsidRPr="00AD1FD7">
              <w:rPr>
                <w:b/>
                <w:u w:val="single"/>
              </w:rPr>
              <w:t>ПРОДАВЕЦ</w:t>
            </w:r>
            <w:r w:rsidRPr="00AD1FD7">
              <w:rPr>
                <w:rFonts w:ascii="TimesET" w:hAnsi="TimesET"/>
                <w:noProof/>
              </w:rPr>
              <w:tab/>
            </w:r>
          </w:p>
          <w:p w:rsidR="00AD1FD7" w:rsidRPr="00AD1FD7" w:rsidRDefault="00AD1FD7" w:rsidP="00AD1FD7">
            <w:pPr>
              <w:tabs>
                <w:tab w:val="left" w:pos="142"/>
              </w:tabs>
              <w:ind w:right="-97"/>
              <w:rPr>
                <w:rFonts w:ascii="TimesET" w:hAnsi="TimesET"/>
                <w:noProof/>
              </w:rPr>
            </w:pPr>
            <w:r w:rsidRPr="00AD1FD7">
              <w:rPr>
                <w:rFonts w:ascii="TimesET" w:hAnsi="TimesET"/>
                <w:noProof/>
              </w:rPr>
              <w:tab/>
            </w:r>
            <w:r w:rsidRPr="00AD1FD7">
              <w:rPr>
                <w:rFonts w:ascii="TimesET" w:hAnsi="TimesET"/>
                <w:noProof/>
              </w:rPr>
              <w:tab/>
            </w:r>
          </w:p>
          <w:p w:rsidR="00AD1FD7" w:rsidRPr="00AD1FD7" w:rsidRDefault="00AD1FD7" w:rsidP="00AD1FD7">
            <w:pPr>
              <w:ind w:right="93"/>
              <w:rPr>
                <w:b/>
              </w:rPr>
            </w:pPr>
            <w:r w:rsidRPr="00AD1FD7">
              <w:rPr>
                <w:b/>
              </w:rPr>
              <w:t>ГУП «Фонд жилищного строительства</w:t>
            </w:r>
          </w:p>
          <w:p w:rsidR="00AD1FD7" w:rsidRPr="00AD1FD7" w:rsidRDefault="00AD1FD7" w:rsidP="00AD1FD7">
            <w:pPr>
              <w:ind w:right="93"/>
            </w:pPr>
            <w:r w:rsidRPr="00AD1FD7">
              <w:rPr>
                <w:b/>
              </w:rPr>
              <w:t>Республики Башкортостан»</w:t>
            </w:r>
            <w:r w:rsidRPr="00AD1FD7">
              <w:t xml:space="preserve"> </w:t>
            </w:r>
            <w:r w:rsidRPr="00AD1FD7">
              <w:tab/>
            </w:r>
            <w:r w:rsidRPr="00AD1FD7">
              <w:tab/>
            </w:r>
          </w:p>
          <w:p w:rsidR="00AD1FD7" w:rsidRPr="00AD1FD7" w:rsidRDefault="00AD1FD7" w:rsidP="00AD1FD7">
            <w:pPr>
              <w:ind w:right="93"/>
            </w:pPr>
            <w:r w:rsidRPr="00AD1FD7">
              <w:t xml:space="preserve">Юридический адрес: 450077, г. Уфа, </w:t>
            </w:r>
            <w:proofErr w:type="spellStart"/>
            <w:r w:rsidRPr="00AD1FD7">
              <w:t>ул</w:t>
            </w:r>
            <w:proofErr w:type="gramStart"/>
            <w:r w:rsidRPr="00AD1FD7">
              <w:t>.Л</w:t>
            </w:r>
            <w:proofErr w:type="gramEnd"/>
            <w:r w:rsidRPr="00AD1FD7">
              <w:t>енина</w:t>
            </w:r>
            <w:proofErr w:type="spellEnd"/>
            <w:r w:rsidRPr="00AD1FD7">
              <w:t>, д. 5/ 3,</w:t>
            </w:r>
          </w:p>
          <w:p w:rsidR="00AD1FD7" w:rsidRPr="00AD1FD7" w:rsidRDefault="00AD1FD7" w:rsidP="00AD1FD7">
            <w:pPr>
              <w:ind w:right="93"/>
            </w:pPr>
            <w:r w:rsidRPr="00AD1FD7">
              <w:t>ИНН: 0274100871, КПП 027401001,</w:t>
            </w:r>
          </w:p>
          <w:p w:rsidR="00AD1FD7" w:rsidRPr="00AD1FD7" w:rsidRDefault="00AD1FD7" w:rsidP="00AD1FD7">
            <w:pPr>
              <w:widowControl w:val="0"/>
              <w:autoSpaceDE w:val="0"/>
              <w:autoSpaceDN w:val="0"/>
              <w:adjustRightInd w:val="0"/>
            </w:pPr>
            <w:r w:rsidRPr="00AD1FD7">
              <w:t xml:space="preserve">Р/с: 40602810316243002534  в операционном офисе в </w:t>
            </w:r>
            <w:proofErr w:type="spellStart"/>
            <w:r w:rsidRPr="00AD1FD7">
              <w:t>г</w:t>
            </w:r>
            <w:proofErr w:type="gramStart"/>
            <w:r w:rsidRPr="00AD1FD7">
              <w:t>.У</w:t>
            </w:r>
            <w:proofErr w:type="gramEnd"/>
            <w:r w:rsidRPr="00AD1FD7">
              <w:t>фе</w:t>
            </w:r>
            <w:proofErr w:type="spellEnd"/>
            <w:r w:rsidRPr="00AD1FD7">
              <w:t xml:space="preserve"> Филиала Банка ВТБ (ПАО) в </w:t>
            </w:r>
            <w:proofErr w:type="spellStart"/>
            <w:r w:rsidRPr="00AD1FD7">
              <w:t>г.Нижнем</w:t>
            </w:r>
            <w:proofErr w:type="spellEnd"/>
            <w:r w:rsidRPr="00AD1FD7">
              <w:t xml:space="preserve"> Новгороде </w:t>
            </w:r>
          </w:p>
          <w:p w:rsidR="00AD1FD7" w:rsidRPr="00AD1FD7" w:rsidRDefault="00AD1FD7" w:rsidP="00AD1FD7">
            <w:pPr>
              <w:widowControl w:val="0"/>
              <w:autoSpaceDE w:val="0"/>
              <w:autoSpaceDN w:val="0"/>
              <w:adjustRightInd w:val="0"/>
            </w:pPr>
            <w:r w:rsidRPr="00AD1FD7">
              <w:t xml:space="preserve">Корсчет: 30101810200000000837 в </w:t>
            </w:r>
            <w:proofErr w:type="gramStart"/>
            <w:r w:rsidRPr="00AD1FD7">
              <w:t>Волго-Вятском</w:t>
            </w:r>
            <w:proofErr w:type="gramEnd"/>
            <w:r w:rsidRPr="00AD1FD7">
              <w:t xml:space="preserve"> ГУ Банка России</w:t>
            </w:r>
          </w:p>
          <w:p w:rsidR="00AD1FD7" w:rsidRPr="00AD1FD7" w:rsidRDefault="00AD1FD7" w:rsidP="00AD1FD7">
            <w:pPr>
              <w:widowControl w:val="0"/>
              <w:autoSpaceDE w:val="0"/>
              <w:autoSpaceDN w:val="0"/>
              <w:adjustRightInd w:val="0"/>
            </w:pPr>
            <w:r w:rsidRPr="00AD1FD7">
              <w:t>БИК: 042202837</w:t>
            </w:r>
          </w:p>
          <w:p w:rsidR="00AD1FD7" w:rsidRPr="00AD1FD7" w:rsidRDefault="00AD1FD7" w:rsidP="00AD1FD7">
            <w:pPr>
              <w:widowControl w:val="0"/>
              <w:autoSpaceDE w:val="0"/>
              <w:autoSpaceDN w:val="0"/>
              <w:adjustRightInd w:val="0"/>
            </w:pPr>
            <w:r w:rsidRPr="00AD1FD7">
              <w:t>Телефон: 229-91-20, 229-91-21</w:t>
            </w:r>
          </w:p>
          <w:p w:rsidR="00AD1FD7" w:rsidRPr="00AD1FD7" w:rsidRDefault="00AD1FD7" w:rsidP="00AD1FD7">
            <w:pPr>
              <w:widowControl w:val="0"/>
              <w:autoSpaceDE w:val="0"/>
              <w:autoSpaceDN w:val="0"/>
              <w:adjustRightInd w:val="0"/>
            </w:pPr>
            <w:r w:rsidRPr="00AD1FD7">
              <w:rPr>
                <w:lang w:val="en-US"/>
              </w:rPr>
              <w:t>main</w:t>
            </w:r>
            <w:r w:rsidRPr="00AD1FD7">
              <w:t>@</w:t>
            </w:r>
            <w:proofErr w:type="spellStart"/>
            <w:r w:rsidRPr="00AD1FD7">
              <w:rPr>
                <w:lang w:val="en-US"/>
              </w:rPr>
              <w:t>gsfrb</w:t>
            </w:r>
            <w:proofErr w:type="spellEnd"/>
            <w:r w:rsidRPr="00AD1FD7">
              <w:t>.</w:t>
            </w:r>
            <w:proofErr w:type="spellStart"/>
            <w:r w:rsidRPr="00AD1FD7">
              <w:rPr>
                <w:lang w:val="en-US"/>
              </w:rPr>
              <w:t>ru</w:t>
            </w:r>
            <w:proofErr w:type="spellEnd"/>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r w:rsidRPr="00AD1FD7">
              <w:t>Генеральный  директор</w:t>
            </w:r>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p>
          <w:p w:rsidR="00AD1FD7" w:rsidRPr="00AD1FD7" w:rsidRDefault="00AD1FD7" w:rsidP="00AD1FD7">
            <w:pPr>
              <w:ind w:right="-97"/>
            </w:pPr>
            <w:r w:rsidRPr="00AD1FD7">
              <w:t>______________Шигапов  Р.М.</w:t>
            </w:r>
          </w:p>
        </w:tc>
        <w:tc>
          <w:tcPr>
            <w:tcW w:w="5026" w:type="dxa"/>
          </w:tcPr>
          <w:p w:rsidR="00AD1FD7" w:rsidRPr="00AD1FD7" w:rsidRDefault="00AD1FD7" w:rsidP="00AD1FD7">
            <w:pPr>
              <w:ind w:right="-1"/>
              <w:jc w:val="both"/>
              <w:rPr>
                <w:b/>
                <w:u w:val="single"/>
              </w:rPr>
            </w:pPr>
            <w:r w:rsidRPr="00AD1FD7">
              <w:rPr>
                <w:b/>
                <w:u w:val="single"/>
              </w:rPr>
              <w:t>ПОКУПАТЕЛЬ</w:t>
            </w:r>
          </w:p>
          <w:p w:rsidR="00AD1FD7" w:rsidRPr="00AD1FD7" w:rsidRDefault="00AD1FD7" w:rsidP="00AD1FD7">
            <w:pPr>
              <w:ind w:right="-1"/>
              <w:jc w:val="both"/>
              <w:rPr>
                <w:rFonts w:ascii="TimesET" w:hAnsi="TimesET"/>
                <w:noProof/>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pP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4"/>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5"/>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67" w:rsidRDefault="00064C67" w:rsidP="004C63BA">
      <w:r>
        <w:separator/>
      </w:r>
    </w:p>
  </w:endnote>
  <w:endnote w:type="continuationSeparator" w:id="0">
    <w:p w:rsidR="00064C67" w:rsidRDefault="00064C6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C1D7B" w:rsidRDefault="00BC1D7B">
        <w:pPr>
          <w:pStyle w:val="a8"/>
          <w:jc w:val="right"/>
        </w:pPr>
        <w:r>
          <w:fldChar w:fldCharType="begin"/>
        </w:r>
        <w:r>
          <w:instrText>PAGE   \* MERGEFORMAT</w:instrText>
        </w:r>
        <w:r>
          <w:fldChar w:fldCharType="separate"/>
        </w:r>
        <w:r w:rsidR="007C2F3B">
          <w:rPr>
            <w:noProof/>
          </w:rPr>
          <w:t>3</w:t>
        </w:r>
        <w:r>
          <w:fldChar w:fldCharType="end"/>
        </w:r>
      </w:p>
    </w:sdtContent>
  </w:sdt>
  <w:p w:rsidR="00BC1D7B" w:rsidRDefault="00BC1D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C1D7B" w:rsidRDefault="00BC1D7B">
        <w:pPr>
          <w:pStyle w:val="a8"/>
          <w:jc w:val="center"/>
        </w:pPr>
        <w:r>
          <w:fldChar w:fldCharType="begin"/>
        </w:r>
        <w:r>
          <w:instrText>PAGE   \* MERGEFORMAT</w:instrText>
        </w:r>
        <w:r>
          <w:fldChar w:fldCharType="separate"/>
        </w:r>
        <w:r w:rsidR="007C2F3B">
          <w:rPr>
            <w:noProof/>
          </w:rPr>
          <w:t>24</w:t>
        </w:r>
        <w:r>
          <w:rPr>
            <w:noProof/>
          </w:rPr>
          <w:fldChar w:fldCharType="end"/>
        </w:r>
      </w:p>
    </w:sdtContent>
  </w:sdt>
  <w:p w:rsidR="00BC1D7B" w:rsidRDefault="00BC1D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67" w:rsidRDefault="00064C67" w:rsidP="004C63BA">
      <w:r>
        <w:separator/>
      </w:r>
    </w:p>
  </w:footnote>
  <w:footnote w:type="continuationSeparator" w:id="0">
    <w:p w:rsidR="00064C67" w:rsidRDefault="00064C6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6"/>
  </w:num>
  <w:num w:numId="4">
    <w:abstractNumId w:val="31"/>
  </w:num>
  <w:num w:numId="5">
    <w:abstractNumId w:val="2"/>
  </w:num>
  <w:num w:numId="6">
    <w:abstractNumId w:val="16"/>
  </w:num>
  <w:num w:numId="7">
    <w:abstractNumId w:val="4"/>
  </w:num>
  <w:num w:numId="8">
    <w:abstractNumId w:val="7"/>
  </w:num>
  <w:num w:numId="9">
    <w:abstractNumId w:val="33"/>
  </w:num>
  <w:num w:numId="10">
    <w:abstractNumId w:val="13"/>
  </w:num>
  <w:num w:numId="11">
    <w:abstractNumId w:val="20"/>
  </w:num>
  <w:num w:numId="12">
    <w:abstractNumId w:val="12"/>
  </w:num>
  <w:num w:numId="13">
    <w:abstractNumId w:val="24"/>
  </w:num>
  <w:num w:numId="14">
    <w:abstractNumId w:val="39"/>
  </w:num>
  <w:num w:numId="15">
    <w:abstractNumId w:val="1"/>
  </w:num>
  <w:num w:numId="16">
    <w:abstractNumId w:val="38"/>
  </w:num>
  <w:num w:numId="17">
    <w:abstractNumId w:val="34"/>
  </w:num>
  <w:num w:numId="18">
    <w:abstractNumId w:val="35"/>
  </w:num>
  <w:num w:numId="19">
    <w:abstractNumId w:val="18"/>
  </w:num>
  <w:num w:numId="20">
    <w:abstractNumId w:val="9"/>
  </w:num>
  <w:num w:numId="21">
    <w:abstractNumId w:val="6"/>
  </w:num>
  <w:num w:numId="22">
    <w:abstractNumId w:val="15"/>
  </w:num>
  <w:num w:numId="23">
    <w:abstractNumId w:val="8"/>
  </w:num>
  <w:num w:numId="24">
    <w:abstractNumId w:val="29"/>
  </w:num>
  <w:num w:numId="25">
    <w:abstractNumId w:val="23"/>
  </w:num>
  <w:num w:numId="26">
    <w:abstractNumId w:val="32"/>
  </w:num>
  <w:num w:numId="27">
    <w:abstractNumId w:val="11"/>
  </w:num>
  <w:num w:numId="28">
    <w:abstractNumId w:val="36"/>
  </w:num>
  <w:num w:numId="29">
    <w:abstractNumId w:val="0"/>
  </w:num>
  <w:num w:numId="30">
    <w:abstractNumId w:val="3"/>
  </w:num>
  <w:num w:numId="31">
    <w:abstractNumId w:val="37"/>
  </w:num>
  <w:num w:numId="32">
    <w:abstractNumId w:val="14"/>
  </w:num>
  <w:num w:numId="33">
    <w:abstractNumId w:val="28"/>
  </w:num>
  <w:num w:numId="34">
    <w:abstractNumId w:val="19"/>
  </w:num>
  <w:num w:numId="35">
    <w:abstractNumId w:val="22"/>
  </w:num>
  <w:num w:numId="36">
    <w:abstractNumId w:val="10"/>
  </w:num>
  <w:num w:numId="37">
    <w:abstractNumId w:val="27"/>
  </w:num>
  <w:num w:numId="38">
    <w:abstractNumId w:val="17"/>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63FF"/>
    <w:rsid w:val="00240E26"/>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401AD2"/>
    <w:rsid w:val="0040206F"/>
    <w:rsid w:val="0040760B"/>
    <w:rsid w:val="00410DB6"/>
    <w:rsid w:val="00412E22"/>
    <w:rsid w:val="00420C61"/>
    <w:rsid w:val="00430804"/>
    <w:rsid w:val="00430EEF"/>
    <w:rsid w:val="00431129"/>
    <w:rsid w:val="0043201F"/>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EFA"/>
    <w:rsid w:val="005F346F"/>
    <w:rsid w:val="005F34B2"/>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6CFE"/>
    <w:rsid w:val="00680E48"/>
    <w:rsid w:val="00681A00"/>
    <w:rsid w:val="00686CE1"/>
    <w:rsid w:val="00692DCC"/>
    <w:rsid w:val="006A04D7"/>
    <w:rsid w:val="006A488C"/>
    <w:rsid w:val="006A6976"/>
    <w:rsid w:val="006B151A"/>
    <w:rsid w:val="006B729D"/>
    <w:rsid w:val="006C3A9D"/>
    <w:rsid w:val="006C4A19"/>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3534"/>
    <w:rsid w:val="009F2FD1"/>
    <w:rsid w:val="009F5276"/>
    <w:rsid w:val="00A00053"/>
    <w:rsid w:val="00A04460"/>
    <w:rsid w:val="00A105DA"/>
    <w:rsid w:val="00A106FC"/>
    <w:rsid w:val="00A240DD"/>
    <w:rsid w:val="00A27478"/>
    <w:rsid w:val="00A30E45"/>
    <w:rsid w:val="00A31479"/>
    <w:rsid w:val="00A33FFA"/>
    <w:rsid w:val="00A4780C"/>
    <w:rsid w:val="00A51C62"/>
    <w:rsid w:val="00A52007"/>
    <w:rsid w:val="00A54864"/>
    <w:rsid w:val="00A54A3B"/>
    <w:rsid w:val="00A57057"/>
    <w:rsid w:val="00A66F27"/>
    <w:rsid w:val="00A707C6"/>
    <w:rsid w:val="00A77536"/>
    <w:rsid w:val="00A93B2F"/>
    <w:rsid w:val="00A95C55"/>
    <w:rsid w:val="00AA474E"/>
    <w:rsid w:val="00AA527E"/>
    <w:rsid w:val="00AB266D"/>
    <w:rsid w:val="00AC058D"/>
    <w:rsid w:val="00AC0FE8"/>
    <w:rsid w:val="00AC1FBF"/>
    <w:rsid w:val="00AC4C31"/>
    <w:rsid w:val="00AC6B34"/>
    <w:rsid w:val="00AD0097"/>
    <w:rsid w:val="00AD159B"/>
    <w:rsid w:val="00AD1FD7"/>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803EC"/>
    <w:rsid w:val="00C81BB0"/>
    <w:rsid w:val="00C81BFD"/>
    <w:rsid w:val="00C83784"/>
    <w:rsid w:val="00C83CD7"/>
    <w:rsid w:val="00C9313E"/>
    <w:rsid w:val="00C93477"/>
    <w:rsid w:val="00CA13CC"/>
    <w:rsid w:val="00CA2D28"/>
    <w:rsid w:val="00CA4156"/>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0A90"/>
    <w:rsid w:val="00D836CA"/>
    <w:rsid w:val="00D83CE6"/>
    <w:rsid w:val="00D867E0"/>
    <w:rsid w:val="00D90538"/>
    <w:rsid w:val="00D94835"/>
    <w:rsid w:val="00D954B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7BB9"/>
    <w:rsid w:val="00EF0EA9"/>
    <w:rsid w:val="00F06B77"/>
    <w:rsid w:val="00F10BB2"/>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20FD-5A4C-43F7-8F4D-6F853EE9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24</Pages>
  <Words>8850</Words>
  <Characters>50449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265</cp:revision>
  <cp:lastPrinted>2019-11-13T07:07:00Z</cp:lastPrinted>
  <dcterms:created xsi:type="dcterms:W3CDTF">2016-09-27T07:20:00Z</dcterms:created>
  <dcterms:modified xsi:type="dcterms:W3CDTF">2020-01-28T04:30:00Z</dcterms:modified>
</cp:coreProperties>
</file>