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9A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115,4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60%,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550750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02:68:010901:58</w:t>
      </w:r>
      <w:r w:rsidR="00550750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03537101-2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02/13/1-3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428596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12/016/2013-2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528B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98 600,00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528B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восемь тысяч шестьсот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2528BC" w:rsidRPr="002528BC">
        <w:rPr>
          <w:rFonts w:ascii="Times New Roman" w:eastAsia="Times New Roman" w:hAnsi="Times New Roman" w:cs="Times New Roman"/>
          <w:sz w:val="24"/>
          <w:szCs w:val="24"/>
          <w:lang w:eastAsia="ru-RU"/>
        </w:rPr>
        <w:t>98 600,00 (девяносто восемь тысяч шестьсот)  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0F" w:rsidRDefault="00756C0F" w:rsidP="00E33AD3">
      <w:pPr>
        <w:spacing w:after="0" w:line="240" w:lineRule="auto"/>
      </w:pPr>
      <w:r>
        <w:separator/>
      </w:r>
    </w:p>
  </w:endnote>
  <w:endnote w:type="continuationSeparator" w:id="0">
    <w:p w:rsidR="00756C0F" w:rsidRDefault="00756C0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79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0F" w:rsidRDefault="00756C0F" w:rsidP="00E33AD3">
      <w:pPr>
        <w:spacing w:after="0" w:line="240" w:lineRule="auto"/>
      </w:pPr>
      <w:r>
        <w:separator/>
      </w:r>
    </w:p>
  </w:footnote>
  <w:footnote w:type="continuationSeparator" w:id="0">
    <w:p w:rsidR="00756C0F" w:rsidRDefault="00756C0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528BC"/>
    <w:rsid w:val="002603C2"/>
    <w:rsid w:val="00265BE1"/>
    <w:rsid w:val="002704F2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56C0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91579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81</cp:revision>
  <dcterms:created xsi:type="dcterms:W3CDTF">2019-06-13T06:11:00Z</dcterms:created>
  <dcterms:modified xsi:type="dcterms:W3CDTF">2019-09-17T04:02:00Z</dcterms:modified>
</cp:coreProperties>
</file>